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F924D" w14:textId="77777777" w:rsidR="004B2A27" w:rsidRPr="0052393F" w:rsidRDefault="004B2A27" w:rsidP="004B2A27">
      <w:pPr>
        <w:ind w:left="-709"/>
        <w:jc w:val="center"/>
        <w:rPr>
          <w:rFonts w:ascii="Arial" w:hAnsi="Arial" w:cs="Arial"/>
          <w:b/>
          <w:color w:val="FFFFFF"/>
          <w:szCs w:val="20"/>
        </w:rPr>
      </w:pPr>
      <w:bookmarkStart w:id="0" w:name="_Toc273624327"/>
      <w:r w:rsidRPr="0052393F">
        <w:rPr>
          <w:rFonts w:ascii="Arial" w:hAnsi="Arial" w:cs="Arial"/>
          <w:noProof/>
        </w:rPr>
        <w:drawing>
          <wp:anchor distT="0" distB="0" distL="114300" distR="114300" simplePos="0" relativeHeight="251659264" behindDoc="1" locked="0" layoutInCell="1" allowOverlap="1" wp14:anchorId="27581799" wp14:editId="798E0DAA">
            <wp:simplePos x="0" y="0"/>
            <wp:positionH relativeFrom="column">
              <wp:posOffset>-532130</wp:posOffset>
            </wp:positionH>
            <wp:positionV relativeFrom="paragraph">
              <wp:posOffset>-69149</wp:posOffset>
            </wp:positionV>
            <wp:extent cx="6743700" cy="8763635"/>
            <wp:effectExtent l="0" t="0" r="0" b="0"/>
            <wp:wrapNone/>
            <wp:docPr id="6" name="Image 6" descr="Description : PDG New Gris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PDG New Gris 2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700" cy="876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C6306" w14:textId="77777777" w:rsidR="004B2A27" w:rsidRPr="0052393F" w:rsidRDefault="004B2A27" w:rsidP="004B2A27">
      <w:pPr>
        <w:spacing w:after="80"/>
        <w:jc w:val="center"/>
        <w:rPr>
          <w:rFonts w:ascii="Arial" w:hAnsi="Arial" w:cs="Arial"/>
          <w:b/>
          <w:color w:val="FFFFFF"/>
          <w:szCs w:val="20"/>
        </w:rPr>
      </w:pPr>
    </w:p>
    <w:p w14:paraId="7F6FA8DB" w14:textId="77777777" w:rsidR="004B2A27" w:rsidRPr="0052393F" w:rsidRDefault="004B2A27" w:rsidP="004B2A27">
      <w:pPr>
        <w:spacing w:after="80"/>
        <w:jc w:val="center"/>
        <w:rPr>
          <w:rFonts w:ascii="Arial" w:hAnsi="Arial" w:cs="Arial"/>
          <w:b/>
          <w:sz w:val="28"/>
          <w:szCs w:val="28"/>
        </w:rPr>
      </w:pPr>
    </w:p>
    <w:p w14:paraId="79ADC4ED" w14:textId="77777777" w:rsidR="004B2A27" w:rsidRPr="0052393F" w:rsidRDefault="004B2A27" w:rsidP="004B2A27">
      <w:pPr>
        <w:spacing w:after="80"/>
        <w:jc w:val="center"/>
        <w:rPr>
          <w:rFonts w:ascii="Arial" w:hAnsi="Arial" w:cs="Arial"/>
          <w:b/>
          <w:sz w:val="28"/>
          <w:szCs w:val="28"/>
        </w:rPr>
      </w:pPr>
      <w:r w:rsidRPr="0052393F">
        <w:rPr>
          <w:rFonts w:ascii="Arial" w:hAnsi="Arial" w:cs="Arial"/>
          <w:b/>
          <w:sz w:val="28"/>
          <w:szCs w:val="28"/>
        </w:rPr>
        <w:t xml:space="preserve">Organisation internationale de la Francophonie </w:t>
      </w:r>
    </w:p>
    <w:p w14:paraId="1A68C38B" w14:textId="77777777" w:rsidR="004B2A27" w:rsidRPr="0052393F" w:rsidRDefault="004B2A27" w:rsidP="004B2A27">
      <w:pPr>
        <w:spacing w:after="80"/>
        <w:jc w:val="center"/>
        <w:rPr>
          <w:rFonts w:ascii="Arial" w:hAnsi="Arial" w:cs="Arial"/>
          <w:b/>
          <w:sz w:val="28"/>
          <w:szCs w:val="28"/>
        </w:rPr>
      </w:pPr>
    </w:p>
    <w:p w14:paraId="40226052" w14:textId="77777777" w:rsidR="004B2A27" w:rsidRPr="0052393F" w:rsidRDefault="004B2A27" w:rsidP="004B2A27">
      <w:pPr>
        <w:spacing w:after="80"/>
        <w:jc w:val="center"/>
        <w:rPr>
          <w:rFonts w:ascii="Arial" w:hAnsi="Arial" w:cs="Arial"/>
          <w:b/>
          <w:sz w:val="28"/>
          <w:szCs w:val="28"/>
        </w:rPr>
      </w:pPr>
    </w:p>
    <w:p w14:paraId="01D605CE" w14:textId="77777777" w:rsidR="004B2A27" w:rsidRPr="0052393F"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8"/>
          <w:szCs w:val="28"/>
        </w:rPr>
      </w:pPr>
    </w:p>
    <w:p w14:paraId="0AA9656A" w14:textId="77777777" w:rsidR="004B2A27" w:rsidRPr="0052393F"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1FA4421E" w14:textId="77777777" w:rsidR="004B2A27" w:rsidRPr="0052393F"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7B89429D" w14:textId="77777777" w:rsidR="004B2A27" w:rsidRPr="0052393F"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5BCD8E29" w14:textId="77777777" w:rsidR="004B2A27" w:rsidRPr="0052393F"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77D3AC8F" w14:textId="77777777" w:rsidR="004B2A27" w:rsidRPr="0052393F"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0E8FD8D9" w14:textId="77777777" w:rsidR="004B2A27" w:rsidRPr="0052393F"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aps/>
          <w:sz w:val="28"/>
          <w:szCs w:val="28"/>
        </w:rPr>
      </w:pPr>
    </w:p>
    <w:p w14:paraId="3F7EA9B7" w14:textId="77777777" w:rsidR="004B2A27" w:rsidRPr="0052393F" w:rsidRDefault="004B2A27" w:rsidP="004B2A27">
      <w:pPr>
        <w:pStyle w:val="Titre1Helvetica11ptGras"/>
        <w:jc w:val="center"/>
        <w:rPr>
          <w:rFonts w:ascii="Arial" w:hAnsi="Arial" w:cs="Arial"/>
          <w:caps w:val="0"/>
          <w:smallCaps/>
          <w:sz w:val="20"/>
          <w:szCs w:val="20"/>
          <w:lang w:val="fr-CA"/>
        </w:rPr>
      </w:pPr>
      <w:bookmarkStart w:id="1" w:name="_Toc46946485"/>
      <w:bookmarkStart w:id="2" w:name="_Toc47012002"/>
      <w:bookmarkStart w:id="3" w:name="_Toc48657166"/>
      <w:bookmarkStart w:id="4" w:name="_Toc55171160"/>
      <w:r w:rsidRPr="0052393F">
        <w:rPr>
          <w:rFonts w:ascii="Arial" w:hAnsi="Arial" w:cs="Arial"/>
          <w:bCs w:val="0"/>
          <w:sz w:val="20"/>
          <w:szCs w:val="20"/>
        </w:rPr>
        <w:t>Consultation formalisée</w:t>
      </w:r>
      <w:bookmarkEnd w:id="1"/>
      <w:bookmarkEnd w:id="2"/>
      <w:bookmarkEnd w:id="3"/>
      <w:bookmarkEnd w:id="4"/>
    </w:p>
    <w:p w14:paraId="7941A3C0" w14:textId="77777777" w:rsidR="004B2A27" w:rsidRPr="0052393F" w:rsidRDefault="004B2A27" w:rsidP="004B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6D1A84CC" w14:textId="1C53CE9D" w:rsidR="00030D9A" w:rsidRPr="0052393F" w:rsidRDefault="00030D9A" w:rsidP="00030D9A">
      <w:pPr>
        <w:spacing w:line="360" w:lineRule="auto"/>
        <w:jc w:val="center"/>
        <w:rPr>
          <w:rFonts w:ascii="Arial" w:hAnsi="Arial" w:cs="Arial"/>
          <w:b/>
          <w:bCs/>
          <w:sz w:val="26"/>
          <w:szCs w:val="26"/>
        </w:rPr>
      </w:pPr>
      <w:bookmarkStart w:id="5" w:name="_Hlk193448924"/>
      <w:bookmarkEnd w:id="0"/>
      <w:r w:rsidRPr="0052393F">
        <w:rPr>
          <w:rFonts w:ascii="Arial" w:hAnsi="Arial" w:cs="Arial"/>
          <w:b/>
          <w:bCs/>
          <w:sz w:val="26"/>
          <w:szCs w:val="26"/>
        </w:rPr>
        <w:t>IDENTIFICATION D’UNE AGENCE DE VOYAGE POUR ASSURER LES SERVICES LOGISTIQUES AUPRES DU CREFAP/OIF</w:t>
      </w:r>
    </w:p>
    <w:bookmarkEnd w:id="5"/>
    <w:p w14:paraId="7045D35F" w14:textId="38F90D86" w:rsidR="004B2A27" w:rsidRPr="00125BE9" w:rsidRDefault="004B2A27" w:rsidP="004B2A27">
      <w:pPr>
        <w:pStyle w:val="Titre1Helvetica11ptGras"/>
        <w:jc w:val="center"/>
        <w:rPr>
          <w:rFonts w:ascii="Arial" w:hAnsi="Arial" w:cs="Arial"/>
          <w:caps w:val="0"/>
          <w:smallCaps/>
          <w:sz w:val="28"/>
          <w:szCs w:val="28"/>
          <w:lang w:val="vi-VN"/>
        </w:rPr>
      </w:pPr>
    </w:p>
    <w:p w14:paraId="41CADF98" w14:textId="77777777" w:rsidR="004B2A27" w:rsidRPr="0052393F" w:rsidRDefault="004B2A27" w:rsidP="004B2A27">
      <w:pPr>
        <w:pStyle w:val="Titre1Helvetica11ptGras"/>
        <w:jc w:val="center"/>
        <w:rPr>
          <w:rFonts w:ascii="Arial" w:hAnsi="Arial" w:cs="Arial"/>
          <w:caps w:val="0"/>
          <w:smallCaps/>
          <w:sz w:val="28"/>
          <w:szCs w:val="28"/>
          <w:lang w:val="fr-CA"/>
        </w:rPr>
      </w:pPr>
    </w:p>
    <w:p w14:paraId="1EF09C44" w14:textId="77777777" w:rsidR="004B2A27" w:rsidRPr="0052393F" w:rsidRDefault="004B2A27" w:rsidP="004B2A27">
      <w:pPr>
        <w:pStyle w:val="Titre1Helvetica11ptGras"/>
        <w:jc w:val="center"/>
        <w:rPr>
          <w:rFonts w:ascii="Arial" w:hAnsi="Arial" w:cs="Arial"/>
          <w:caps w:val="0"/>
          <w:smallCaps/>
          <w:sz w:val="28"/>
          <w:szCs w:val="28"/>
          <w:lang w:val="fr-CA"/>
        </w:rPr>
      </w:pPr>
    </w:p>
    <w:p w14:paraId="0FA7B293" w14:textId="5ACDF21B" w:rsidR="004B2A27" w:rsidRPr="0052393F" w:rsidRDefault="004B2A27" w:rsidP="004B2A27">
      <w:pPr>
        <w:pStyle w:val="Titre1Helvetica11ptGras"/>
        <w:jc w:val="center"/>
        <w:rPr>
          <w:rFonts w:ascii="Arial" w:hAnsi="Arial" w:cs="Arial"/>
          <w:caps w:val="0"/>
          <w:sz w:val="20"/>
          <w:szCs w:val="20"/>
          <w:u w:val="single"/>
        </w:rPr>
      </w:pPr>
      <w:bookmarkStart w:id="6" w:name="_Toc55171162"/>
      <w:bookmarkStart w:id="7" w:name="_Toc46946487"/>
      <w:bookmarkStart w:id="8" w:name="_Toc47012004"/>
      <w:bookmarkStart w:id="9" w:name="_Toc48657169"/>
      <w:r w:rsidRPr="0052393F">
        <w:rPr>
          <w:rFonts w:ascii="Arial" w:hAnsi="Arial" w:cs="Arial"/>
          <w:caps w:val="0"/>
          <w:sz w:val="20"/>
          <w:szCs w:val="20"/>
        </w:rPr>
        <w:t>Date limite de soumission des offres :</w:t>
      </w:r>
      <w:bookmarkEnd w:id="6"/>
      <w:r w:rsidRPr="0052393F">
        <w:rPr>
          <w:rFonts w:ascii="Arial" w:hAnsi="Arial" w:cs="Arial"/>
          <w:caps w:val="0"/>
          <w:sz w:val="20"/>
          <w:szCs w:val="20"/>
        </w:rPr>
        <w:t xml:space="preserve"> </w:t>
      </w:r>
      <w:bookmarkEnd w:id="7"/>
      <w:bookmarkEnd w:id="8"/>
      <w:bookmarkEnd w:id="9"/>
      <w:r w:rsidR="008550C5">
        <w:rPr>
          <w:rFonts w:ascii="Arial" w:hAnsi="Arial" w:cs="Arial"/>
          <w:caps w:val="0"/>
          <w:sz w:val="20"/>
          <w:szCs w:val="20"/>
          <w:u w:val="single"/>
        </w:rPr>
        <w:t>10</w:t>
      </w:r>
      <w:r w:rsidR="005A2526">
        <w:rPr>
          <w:rFonts w:ascii="Arial" w:hAnsi="Arial" w:cs="Arial"/>
          <w:caps w:val="0"/>
          <w:sz w:val="20"/>
          <w:szCs w:val="20"/>
          <w:u w:val="single"/>
        </w:rPr>
        <w:t xml:space="preserve"> juin</w:t>
      </w:r>
      <w:r w:rsidR="00697F94" w:rsidRPr="0052393F">
        <w:rPr>
          <w:rFonts w:ascii="Arial" w:hAnsi="Arial" w:cs="Arial"/>
          <w:caps w:val="0"/>
          <w:sz w:val="20"/>
          <w:szCs w:val="20"/>
          <w:u w:val="single"/>
        </w:rPr>
        <w:t xml:space="preserve"> 202</w:t>
      </w:r>
      <w:r w:rsidR="003C030F" w:rsidRPr="0052393F">
        <w:rPr>
          <w:rFonts w:ascii="Arial" w:hAnsi="Arial" w:cs="Arial"/>
          <w:caps w:val="0"/>
          <w:sz w:val="20"/>
          <w:szCs w:val="20"/>
          <w:u w:val="single"/>
        </w:rPr>
        <w:t>5</w:t>
      </w:r>
      <w:r w:rsidR="00697F94" w:rsidRPr="0052393F">
        <w:rPr>
          <w:rFonts w:ascii="Arial" w:hAnsi="Arial" w:cs="Arial"/>
          <w:caps w:val="0"/>
          <w:sz w:val="20"/>
          <w:szCs w:val="20"/>
          <w:u w:val="single"/>
        </w:rPr>
        <w:t xml:space="preserve">, </w:t>
      </w:r>
      <w:r w:rsidR="001E3832" w:rsidRPr="0052393F">
        <w:rPr>
          <w:rFonts w:ascii="Arial" w:hAnsi="Arial" w:cs="Arial"/>
          <w:caps w:val="0"/>
          <w:sz w:val="20"/>
          <w:szCs w:val="20"/>
          <w:u w:val="single"/>
        </w:rPr>
        <w:t>23h59</w:t>
      </w:r>
      <w:r w:rsidR="00030D9A" w:rsidRPr="0052393F">
        <w:rPr>
          <w:rFonts w:ascii="Arial" w:hAnsi="Arial" w:cs="Arial"/>
          <w:caps w:val="0"/>
          <w:sz w:val="20"/>
          <w:szCs w:val="20"/>
          <w:u w:val="single"/>
        </w:rPr>
        <w:t xml:space="preserve"> GMT+7</w:t>
      </w:r>
    </w:p>
    <w:p w14:paraId="2F7A6B06" w14:textId="77777777" w:rsidR="004B2A27" w:rsidRPr="0052393F" w:rsidRDefault="004B2A27" w:rsidP="004B2A27">
      <w:pPr>
        <w:pStyle w:val="Titre1Helvetica11ptGras"/>
        <w:jc w:val="center"/>
        <w:rPr>
          <w:rFonts w:ascii="Arial" w:hAnsi="Arial" w:cs="Arial"/>
          <w:sz w:val="20"/>
          <w:szCs w:val="20"/>
        </w:rPr>
      </w:pPr>
    </w:p>
    <w:p w14:paraId="066892CF" w14:textId="77777777" w:rsidR="004B2A27" w:rsidRPr="0052393F" w:rsidRDefault="004B2A27" w:rsidP="004B2A27">
      <w:pPr>
        <w:pStyle w:val="Titre1Helvetica11ptGras"/>
        <w:jc w:val="center"/>
        <w:rPr>
          <w:rFonts w:ascii="Arial" w:hAnsi="Arial" w:cs="Arial"/>
          <w:b w:val="0"/>
          <w:sz w:val="20"/>
          <w:szCs w:val="20"/>
        </w:rPr>
      </w:pPr>
    </w:p>
    <w:p w14:paraId="74D4C991" w14:textId="7C3EA46A" w:rsidR="004B2A27" w:rsidRPr="0052393F" w:rsidRDefault="00030D9A" w:rsidP="004B2A27">
      <w:pPr>
        <w:pStyle w:val="Titre1Helvetica11ptGras"/>
        <w:jc w:val="center"/>
        <w:rPr>
          <w:rFonts w:ascii="Arial" w:hAnsi="Arial" w:cs="Arial"/>
          <w:b w:val="0"/>
          <w:caps w:val="0"/>
          <w:smallCaps/>
          <w:sz w:val="28"/>
          <w:szCs w:val="28"/>
          <w:lang w:val="fr-CA"/>
        </w:rPr>
      </w:pPr>
      <w:r w:rsidRPr="0052393F">
        <w:rPr>
          <w:rFonts w:ascii="Arial" w:hAnsi="Arial" w:cs="Arial"/>
          <w:b w:val="0"/>
          <w:caps w:val="0"/>
          <w:sz w:val="20"/>
          <w:szCs w:val="20"/>
        </w:rPr>
        <w:t>Ho Chi Minh Ville, le 2</w:t>
      </w:r>
      <w:r w:rsidR="006D1F4E">
        <w:rPr>
          <w:rFonts w:ascii="Arial" w:hAnsi="Arial" w:cs="Arial"/>
          <w:b w:val="0"/>
          <w:caps w:val="0"/>
          <w:sz w:val="20"/>
          <w:szCs w:val="20"/>
        </w:rPr>
        <w:t>2</w:t>
      </w:r>
      <w:r w:rsidR="005A2526">
        <w:rPr>
          <w:rFonts w:ascii="Arial" w:hAnsi="Arial" w:cs="Arial"/>
          <w:b w:val="0"/>
          <w:caps w:val="0"/>
          <w:sz w:val="20"/>
          <w:szCs w:val="20"/>
        </w:rPr>
        <w:t xml:space="preserve"> mai</w:t>
      </w:r>
      <w:r w:rsidRPr="0052393F">
        <w:rPr>
          <w:rFonts w:ascii="Arial" w:hAnsi="Arial" w:cs="Arial"/>
          <w:b w:val="0"/>
          <w:caps w:val="0"/>
          <w:sz w:val="20"/>
          <w:szCs w:val="20"/>
        </w:rPr>
        <w:t xml:space="preserve"> 2025</w:t>
      </w:r>
    </w:p>
    <w:p w14:paraId="2245ACA0" w14:textId="77777777" w:rsidR="004B2A27" w:rsidRPr="0052393F" w:rsidRDefault="004B2A27" w:rsidP="004B2A27">
      <w:pPr>
        <w:jc w:val="center"/>
        <w:rPr>
          <w:rFonts w:ascii="Arial" w:hAnsi="Arial" w:cs="Arial"/>
          <w:b/>
          <w:sz w:val="20"/>
          <w:szCs w:val="20"/>
        </w:rPr>
      </w:pPr>
      <w:r w:rsidRPr="0052393F">
        <w:rPr>
          <w:rFonts w:ascii="Arial" w:hAnsi="Arial" w:cs="Arial"/>
        </w:rPr>
        <w:br w:type="page"/>
      </w:r>
    </w:p>
    <w:p w14:paraId="65FC2DCB" w14:textId="77777777" w:rsidR="004B2A27" w:rsidRPr="0052393F" w:rsidRDefault="004B2A27" w:rsidP="004B2A27">
      <w:pPr>
        <w:pStyle w:val="Titre1Helvetica11ptGras"/>
        <w:numPr>
          <w:ilvl w:val="0"/>
          <w:numId w:val="1"/>
        </w:numPr>
        <w:spacing w:line="360" w:lineRule="auto"/>
        <w:rPr>
          <w:rFonts w:ascii="Arial" w:hAnsi="Arial" w:cs="Arial"/>
          <w:caps w:val="0"/>
          <w:sz w:val="24"/>
          <w:szCs w:val="32"/>
        </w:rPr>
      </w:pPr>
      <w:bookmarkStart w:id="10" w:name="_Toc55171164"/>
      <w:r w:rsidRPr="0052393F">
        <w:rPr>
          <w:rFonts w:ascii="Arial" w:hAnsi="Arial" w:cs="Arial"/>
          <w:caps w:val="0"/>
          <w:sz w:val="24"/>
          <w:szCs w:val="32"/>
        </w:rPr>
        <w:lastRenderedPageBreak/>
        <w:t>Objet de la consultation formalisée</w:t>
      </w:r>
      <w:bookmarkEnd w:id="10"/>
    </w:p>
    <w:p w14:paraId="459722F4" w14:textId="7FD55A4D" w:rsidR="00923E2E" w:rsidRPr="0052393F" w:rsidRDefault="004B2A27" w:rsidP="00030D9A">
      <w:pPr>
        <w:spacing w:line="360" w:lineRule="auto"/>
        <w:jc w:val="both"/>
        <w:rPr>
          <w:rFonts w:ascii="Arial" w:hAnsi="Arial" w:cs="Arial"/>
          <w:sz w:val="20"/>
          <w:szCs w:val="20"/>
        </w:rPr>
      </w:pPr>
      <w:r w:rsidRPr="0052393F">
        <w:rPr>
          <w:rFonts w:ascii="Arial" w:hAnsi="Arial" w:cs="Arial"/>
          <w:sz w:val="20"/>
          <w:szCs w:val="20"/>
        </w:rPr>
        <w:t>L</w:t>
      </w:r>
      <w:r w:rsidR="00030D9A" w:rsidRPr="0052393F">
        <w:rPr>
          <w:rFonts w:ascii="Arial" w:hAnsi="Arial" w:cs="Arial"/>
          <w:sz w:val="20"/>
          <w:szCs w:val="20"/>
        </w:rPr>
        <w:t>e Centre régional francophone d’Asie-Pacifique de l’</w:t>
      </w:r>
      <w:r w:rsidRPr="0052393F">
        <w:rPr>
          <w:rFonts w:ascii="Arial" w:hAnsi="Arial" w:cs="Arial"/>
          <w:sz w:val="20"/>
          <w:szCs w:val="20"/>
        </w:rPr>
        <w:t xml:space="preserve">Organisation </w:t>
      </w:r>
      <w:r w:rsidR="00030D9A" w:rsidRPr="0052393F">
        <w:rPr>
          <w:rFonts w:ascii="Arial" w:hAnsi="Arial" w:cs="Arial"/>
          <w:sz w:val="20"/>
          <w:szCs w:val="20"/>
        </w:rPr>
        <w:t>i</w:t>
      </w:r>
      <w:r w:rsidRPr="0052393F">
        <w:rPr>
          <w:rFonts w:ascii="Arial" w:hAnsi="Arial" w:cs="Arial"/>
          <w:sz w:val="20"/>
          <w:szCs w:val="20"/>
        </w:rPr>
        <w:t>nternationale de la Francophonie (</w:t>
      </w:r>
      <w:r w:rsidR="00030D9A" w:rsidRPr="0052393F">
        <w:rPr>
          <w:rFonts w:ascii="Arial" w:hAnsi="Arial" w:cs="Arial"/>
          <w:sz w:val="20"/>
          <w:szCs w:val="20"/>
        </w:rPr>
        <w:t>CREFAP/</w:t>
      </w:r>
      <w:r w:rsidRPr="0052393F">
        <w:rPr>
          <w:rFonts w:ascii="Arial" w:hAnsi="Arial" w:cs="Arial"/>
          <w:sz w:val="20"/>
          <w:szCs w:val="20"/>
        </w:rPr>
        <w:t xml:space="preserve">OIF) souhaite mettre en concurrence des prestataires de services spécialisés </w:t>
      </w:r>
      <w:r w:rsidR="003E07AE" w:rsidRPr="0052393F">
        <w:rPr>
          <w:rFonts w:ascii="Arial" w:hAnsi="Arial" w:cs="Arial"/>
          <w:sz w:val="20"/>
          <w:szCs w:val="20"/>
        </w:rPr>
        <w:t xml:space="preserve">dans </w:t>
      </w:r>
      <w:r w:rsidR="00030D9A" w:rsidRPr="0052393F">
        <w:rPr>
          <w:rFonts w:ascii="Arial" w:hAnsi="Arial" w:cs="Arial"/>
          <w:sz w:val="20"/>
          <w:szCs w:val="20"/>
        </w:rPr>
        <w:t>l’organisation et la gestion logistique des événements.</w:t>
      </w:r>
    </w:p>
    <w:p w14:paraId="1A76D38F" w14:textId="77777777" w:rsidR="00030D9A" w:rsidRPr="0052393F" w:rsidRDefault="00030D9A" w:rsidP="00030D9A">
      <w:pPr>
        <w:spacing w:before="120" w:line="360" w:lineRule="auto"/>
        <w:jc w:val="both"/>
        <w:rPr>
          <w:rFonts w:ascii="Arial" w:hAnsi="Arial" w:cs="Arial"/>
          <w:sz w:val="20"/>
          <w:szCs w:val="20"/>
        </w:rPr>
      </w:pPr>
      <w:r w:rsidRPr="0052393F">
        <w:rPr>
          <w:rFonts w:ascii="Arial" w:hAnsi="Arial" w:cs="Arial"/>
          <w:sz w:val="20"/>
          <w:szCs w:val="20"/>
        </w:rPr>
        <w:t>Les prestations requises couvrent principalement les zones géographiques d’Asie-Pacifique et d’autres destinations internationales, et comprennent :</w:t>
      </w:r>
    </w:p>
    <w:p w14:paraId="5B9ECCD8" w14:textId="77777777" w:rsidR="00030D9A" w:rsidRPr="0052393F" w:rsidRDefault="00030D9A" w:rsidP="00030D9A">
      <w:pPr>
        <w:numPr>
          <w:ilvl w:val="0"/>
          <w:numId w:val="9"/>
        </w:numPr>
        <w:spacing w:before="120" w:line="360" w:lineRule="auto"/>
        <w:jc w:val="both"/>
        <w:rPr>
          <w:rFonts w:ascii="Arial" w:hAnsi="Arial" w:cs="Arial"/>
          <w:sz w:val="20"/>
          <w:szCs w:val="20"/>
        </w:rPr>
      </w:pPr>
      <w:r w:rsidRPr="0052393F">
        <w:rPr>
          <w:rFonts w:ascii="Arial" w:hAnsi="Arial" w:cs="Arial"/>
          <w:b/>
          <w:bCs/>
          <w:sz w:val="20"/>
          <w:szCs w:val="20"/>
        </w:rPr>
        <w:t>Gestion des transports</w:t>
      </w:r>
      <w:r w:rsidRPr="0052393F">
        <w:rPr>
          <w:rFonts w:ascii="Arial" w:hAnsi="Arial" w:cs="Arial"/>
          <w:sz w:val="20"/>
          <w:szCs w:val="20"/>
        </w:rPr>
        <w:t xml:space="preserve"> : L’agence devra proposer des options de vols, trains, et transports routiers, en assurant les réservations et l’émission des billets, tout en offrant des alternatives en cas de changements imprévus.</w:t>
      </w:r>
    </w:p>
    <w:p w14:paraId="762567A3" w14:textId="77777777" w:rsidR="00030D9A" w:rsidRPr="0052393F" w:rsidRDefault="00030D9A" w:rsidP="00030D9A">
      <w:pPr>
        <w:numPr>
          <w:ilvl w:val="0"/>
          <w:numId w:val="9"/>
        </w:numPr>
        <w:spacing w:before="120" w:line="360" w:lineRule="auto"/>
        <w:jc w:val="both"/>
        <w:rPr>
          <w:rFonts w:ascii="Arial" w:hAnsi="Arial" w:cs="Arial"/>
          <w:sz w:val="20"/>
          <w:szCs w:val="20"/>
        </w:rPr>
      </w:pPr>
      <w:r w:rsidRPr="0052393F">
        <w:rPr>
          <w:rFonts w:ascii="Arial" w:hAnsi="Arial" w:cs="Arial"/>
          <w:b/>
          <w:bCs/>
          <w:sz w:val="20"/>
          <w:szCs w:val="20"/>
        </w:rPr>
        <w:t xml:space="preserve">Réservation d’hébergement </w:t>
      </w:r>
      <w:r w:rsidRPr="0052393F">
        <w:rPr>
          <w:rFonts w:ascii="Arial" w:hAnsi="Arial" w:cs="Arial"/>
          <w:b/>
          <w:bCs/>
          <w:color w:val="000000" w:themeColor="text1"/>
          <w:sz w:val="20"/>
          <w:szCs w:val="20"/>
        </w:rPr>
        <w:t>et de restauration</w:t>
      </w:r>
      <w:r w:rsidRPr="0052393F">
        <w:rPr>
          <w:rFonts w:ascii="Arial" w:hAnsi="Arial" w:cs="Arial"/>
          <w:color w:val="000000" w:themeColor="text1"/>
          <w:sz w:val="20"/>
          <w:szCs w:val="20"/>
        </w:rPr>
        <w:t xml:space="preserve"> </w:t>
      </w:r>
      <w:r w:rsidRPr="0052393F">
        <w:rPr>
          <w:rFonts w:ascii="Arial" w:hAnsi="Arial" w:cs="Arial"/>
          <w:sz w:val="20"/>
          <w:szCs w:val="20"/>
        </w:rPr>
        <w:t>: L’agence sélectionnera des hôtels en fonction des critères de confort et de sécurité établis par le CREFAP. Les hôtels doivent être idéalement situés par rapport aux lieux de réunion ou de formation.</w:t>
      </w:r>
    </w:p>
    <w:p w14:paraId="1405CB02" w14:textId="77777777" w:rsidR="00030D9A" w:rsidRPr="0052393F" w:rsidRDefault="00030D9A" w:rsidP="00030D9A">
      <w:pPr>
        <w:numPr>
          <w:ilvl w:val="0"/>
          <w:numId w:val="9"/>
        </w:numPr>
        <w:spacing w:before="120" w:line="360" w:lineRule="auto"/>
        <w:jc w:val="both"/>
        <w:rPr>
          <w:rFonts w:ascii="Arial" w:hAnsi="Arial" w:cs="Arial"/>
          <w:sz w:val="20"/>
          <w:szCs w:val="20"/>
        </w:rPr>
      </w:pPr>
      <w:r w:rsidRPr="0052393F">
        <w:rPr>
          <w:rFonts w:ascii="Arial" w:hAnsi="Arial" w:cs="Arial"/>
          <w:b/>
          <w:bCs/>
          <w:sz w:val="20"/>
          <w:szCs w:val="20"/>
        </w:rPr>
        <w:t>Assistance en matière d’immigration et de visas</w:t>
      </w:r>
      <w:r w:rsidRPr="0052393F">
        <w:rPr>
          <w:rFonts w:ascii="Arial" w:hAnsi="Arial" w:cs="Arial"/>
          <w:sz w:val="20"/>
          <w:szCs w:val="20"/>
        </w:rPr>
        <w:t xml:space="preserve"> : L’agence devra fournir des informations actualisées sur les exigences d’entrée dans les pays de destination, assister dans la préparation des documents de visas, et informer des restrictions temporaires ou nouvelles règlementations.</w:t>
      </w:r>
    </w:p>
    <w:p w14:paraId="0B68DD08" w14:textId="77777777" w:rsidR="00923E2E" w:rsidRPr="0052393F" w:rsidRDefault="00923E2E" w:rsidP="00632813">
      <w:pPr>
        <w:spacing w:line="360" w:lineRule="auto"/>
        <w:ind w:left="720"/>
        <w:jc w:val="both"/>
        <w:rPr>
          <w:rFonts w:ascii="Arial" w:hAnsi="Arial" w:cs="Arial"/>
          <w:sz w:val="20"/>
          <w:szCs w:val="20"/>
        </w:rPr>
      </w:pPr>
    </w:p>
    <w:p w14:paraId="50F43F1E" w14:textId="77777777" w:rsidR="004B2A27" w:rsidRPr="0052393F" w:rsidRDefault="00C36BF5" w:rsidP="004B2A27">
      <w:pPr>
        <w:pStyle w:val="Titre1Helvetica11ptGras"/>
        <w:numPr>
          <w:ilvl w:val="0"/>
          <w:numId w:val="1"/>
        </w:numPr>
        <w:spacing w:line="360" w:lineRule="auto"/>
        <w:rPr>
          <w:rFonts w:ascii="Arial" w:hAnsi="Arial" w:cs="Arial"/>
          <w:caps w:val="0"/>
          <w:sz w:val="24"/>
          <w:szCs w:val="24"/>
        </w:rPr>
      </w:pPr>
      <w:bookmarkStart w:id="11" w:name="_Toc55171165"/>
      <w:r w:rsidRPr="0052393F">
        <w:rPr>
          <w:rFonts w:ascii="Arial" w:hAnsi="Arial" w:cs="Arial"/>
          <w:caps w:val="0"/>
          <w:sz w:val="24"/>
          <w:szCs w:val="24"/>
        </w:rPr>
        <w:t>Modalités de s</w:t>
      </w:r>
      <w:r w:rsidR="004B2A27" w:rsidRPr="0052393F">
        <w:rPr>
          <w:rFonts w:ascii="Arial" w:hAnsi="Arial" w:cs="Arial"/>
          <w:caps w:val="0"/>
          <w:sz w:val="24"/>
          <w:szCs w:val="24"/>
        </w:rPr>
        <w:t>oumission</w:t>
      </w:r>
      <w:bookmarkEnd w:id="11"/>
      <w:r w:rsidR="004B2A27" w:rsidRPr="0052393F">
        <w:rPr>
          <w:rFonts w:ascii="Arial" w:hAnsi="Arial" w:cs="Arial"/>
          <w:caps w:val="0"/>
          <w:sz w:val="24"/>
          <w:szCs w:val="24"/>
        </w:rPr>
        <w:t xml:space="preserve"> </w:t>
      </w:r>
    </w:p>
    <w:p w14:paraId="4526391D" w14:textId="0F19E318" w:rsidR="004B2A27" w:rsidRPr="0052393F" w:rsidRDefault="004B2A27" w:rsidP="00920BB1">
      <w:pPr>
        <w:spacing w:line="360" w:lineRule="auto"/>
        <w:jc w:val="both"/>
        <w:rPr>
          <w:rFonts w:ascii="Arial" w:hAnsi="Arial" w:cs="Arial"/>
          <w:b/>
          <w:sz w:val="20"/>
          <w:szCs w:val="20"/>
        </w:rPr>
      </w:pPr>
      <w:r w:rsidRPr="0052393F">
        <w:rPr>
          <w:rFonts w:ascii="Arial" w:hAnsi="Arial" w:cs="Arial"/>
          <w:sz w:val="20"/>
          <w:szCs w:val="20"/>
        </w:rPr>
        <w:t>Les offres des soumissionnaires seront entièrement rédigées en fran</w:t>
      </w:r>
      <w:r w:rsidR="00FF00EF" w:rsidRPr="0052393F">
        <w:rPr>
          <w:rFonts w:ascii="Arial" w:hAnsi="Arial" w:cs="Arial"/>
          <w:sz w:val="20"/>
          <w:szCs w:val="20"/>
        </w:rPr>
        <w:t>çais et doivent être envoyées</w:t>
      </w:r>
      <w:r w:rsidRPr="0052393F">
        <w:rPr>
          <w:rFonts w:ascii="Arial" w:hAnsi="Arial" w:cs="Arial"/>
          <w:sz w:val="20"/>
          <w:szCs w:val="20"/>
        </w:rPr>
        <w:t xml:space="preserve"> </w:t>
      </w:r>
      <w:r w:rsidR="00920BB1" w:rsidRPr="0052393F">
        <w:rPr>
          <w:rFonts w:ascii="Arial" w:hAnsi="Arial" w:cs="Arial"/>
          <w:sz w:val="20"/>
          <w:szCs w:val="20"/>
        </w:rPr>
        <w:t>p</w:t>
      </w:r>
      <w:r w:rsidR="003D5E22" w:rsidRPr="0052393F">
        <w:rPr>
          <w:rFonts w:ascii="Arial" w:eastAsia="Times" w:hAnsi="Arial" w:cs="Arial"/>
          <w:sz w:val="20"/>
          <w:szCs w:val="20"/>
        </w:rPr>
        <w:t>ar courriel</w:t>
      </w:r>
      <w:r w:rsidR="00920BB1" w:rsidRPr="0052393F">
        <w:rPr>
          <w:rFonts w:ascii="Arial" w:eastAsia="Times" w:hAnsi="Arial" w:cs="Arial"/>
          <w:sz w:val="20"/>
          <w:szCs w:val="20"/>
        </w:rPr>
        <w:t xml:space="preserve"> </w:t>
      </w:r>
      <w:r w:rsidR="00030D9A" w:rsidRPr="0052393F">
        <w:rPr>
          <w:rFonts w:ascii="Arial" w:eastAsia="Times" w:hAnsi="Arial" w:cs="Arial"/>
          <w:sz w:val="20"/>
          <w:szCs w:val="20"/>
        </w:rPr>
        <w:t xml:space="preserve">au plus tard le </w:t>
      </w:r>
      <w:r w:rsidR="005A2526">
        <w:rPr>
          <w:rFonts w:ascii="Arial" w:eastAsia="Times" w:hAnsi="Arial" w:cs="Arial"/>
          <w:sz w:val="20"/>
          <w:szCs w:val="20"/>
        </w:rPr>
        <w:t>08 juin</w:t>
      </w:r>
      <w:r w:rsidR="00920BB1" w:rsidRPr="0052393F">
        <w:rPr>
          <w:rFonts w:ascii="Arial" w:eastAsia="Times" w:hAnsi="Arial" w:cs="Arial"/>
          <w:bCs/>
          <w:sz w:val="20"/>
          <w:szCs w:val="20"/>
        </w:rPr>
        <w:t xml:space="preserve"> 202</w:t>
      </w:r>
      <w:r w:rsidR="003C030F" w:rsidRPr="0052393F">
        <w:rPr>
          <w:rFonts w:ascii="Arial" w:eastAsia="Times" w:hAnsi="Arial" w:cs="Arial"/>
          <w:bCs/>
          <w:sz w:val="20"/>
          <w:szCs w:val="20"/>
        </w:rPr>
        <w:t>5</w:t>
      </w:r>
      <w:r w:rsidR="00920BB1" w:rsidRPr="0052393F">
        <w:rPr>
          <w:rFonts w:ascii="Arial" w:eastAsia="Times" w:hAnsi="Arial" w:cs="Arial"/>
          <w:b/>
          <w:sz w:val="20"/>
          <w:szCs w:val="20"/>
        </w:rPr>
        <w:t xml:space="preserve"> </w:t>
      </w:r>
      <w:r w:rsidR="00920BB1" w:rsidRPr="0052393F">
        <w:rPr>
          <w:rFonts w:ascii="Arial" w:eastAsia="Times" w:hAnsi="Arial" w:cs="Arial"/>
          <w:sz w:val="20"/>
          <w:szCs w:val="20"/>
        </w:rPr>
        <w:t xml:space="preserve">à l’adresse suivante : </w:t>
      </w:r>
      <w:r w:rsidR="00030D9A" w:rsidRPr="0052393F">
        <w:rPr>
          <w:rFonts w:ascii="Arial" w:eastAsia="Times" w:hAnsi="Arial" w:cs="Arial"/>
          <w:sz w:val="20"/>
          <w:szCs w:val="20"/>
        </w:rPr>
        <w:t>crefap@francophonie.org</w:t>
      </w:r>
    </w:p>
    <w:p w14:paraId="6669F7DB" w14:textId="07B84346" w:rsidR="004B2A27" w:rsidRPr="0052393F" w:rsidRDefault="004B2A27" w:rsidP="004B2A27">
      <w:pPr>
        <w:spacing w:line="360" w:lineRule="auto"/>
        <w:jc w:val="both"/>
        <w:rPr>
          <w:rFonts w:ascii="Arial" w:hAnsi="Arial" w:cs="Arial"/>
          <w:sz w:val="20"/>
          <w:szCs w:val="20"/>
        </w:rPr>
      </w:pPr>
    </w:p>
    <w:p w14:paraId="0A568319" w14:textId="06B213EB" w:rsidR="00C85C7D" w:rsidRPr="0052393F" w:rsidRDefault="004B2A27" w:rsidP="004B2A27">
      <w:pPr>
        <w:spacing w:line="360" w:lineRule="auto"/>
        <w:jc w:val="both"/>
        <w:rPr>
          <w:rFonts w:ascii="Arial" w:hAnsi="Arial" w:cs="Arial"/>
          <w:sz w:val="20"/>
          <w:szCs w:val="20"/>
        </w:rPr>
      </w:pPr>
      <w:r w:rsidRPr="0052393F">
        <w:rPr>
          <w:rFonts w:ascii="Arial" w:hAnsi="Arial" w:cs="Arial"/>
          <w:sz w:val="20"/>
          <w:szCs w:val="20"/>
        </w:rPr>
        <w:t>Les soumissions seront conformes au cahier des charges</w:t>
      </w:r>
      <w:r w:rsidR="00BF7224" w:rsidRPr="0052393F">
        <w:rPr>
          <w:rFonts w:ascii="Arial" w:hAnsi="Arial" w:cs="Arial"/>
          <w:sz w:val="20"/>
          <w:szCs w:val="20"/>
        </w:rPr>
        <w:t xml:space="preserve"> </w:t>
      </w:r>
      <w:r w:rsidRPr="0052393F">
        <w:rPr>
          <w:rFonts w:ascii="Arial" w:hAnsi="Arial" w:cs="Arial"/>
          <w:sz w:val="20"/>
          <w:szCs w:val="20"/>
        </w:rPr>
        <w:t>(</w:t>
      </w:r>
      <w:r w:rsidRPr="0052393F">
        <w:rPr>
          <w:rFonts w:ascii="Arial" w:hAnsi="Arial" w:cs="Arial"/>
          <w:b/>
          <w:i/>
          <w:sz w:val="20"/>
          <w:szCs w:val="20"/>
        </w:rPr>
        <w:t>Annexe 1 : Cahier des charges</w:t>
      </w:r>
      <w:r w:rsidR="000D5755" w:rsidRPr="0052393F">
        <w:rPr>
          <w:rFonts w:ascii="Arial" w:hAnsi="Arial" w:cs="Arial"/>
          <w:b/>
          <w:i/>
          <w:sz w:val="20"/>
          <w:szCs w:val="20"/>
        </w:rPr>
        <w:t>/Termes de références</w:t>
      </w:r>
      <w:r w:rsidRPr="0052393F">
        <w:rPr>
          <w:rFonts w:ascii="Arial" w:hAnsi="Arial" w:cs="Arial"/>
          <w:sz w:val="20"/>
          <w:szCs w:val="20"/>
        </w:rPr>
        <w:t>)</w:t>
      </w:r>
      <w:r w:rsidR="00B5711D" w:rsidRPr="0052393F">
        <w:rPr>
          <w:rFonts w:ascii="Arial" w:hAnsi="Arial" w:cs="Arial"/>
          <w:sz w:val="20"/>
          <w:szCs w:val="20"/>
        </w:rPr>
        <w:t>.</w:t>
      </w:r>
    </w:p>
    <w:p w14:paraId="33F01732" w14:textId="77777777" w:rsidR="00645F1D" w:rsidRPr="0052393F" w:rsidRDefault="00645F1D" w:rsidP="004B2A27">
      <w:pPr>
        <w:spacing w:line="360" w:lineRule="auto"/>
        <w:jc w:val="both"/>
        <w:rPr>
          <w:rFonts w:ascii="Arial" w:hAnsi="Arial" w:cs="Arial"/>
          <w:sz w:val="20"/>
          <w:szCs w:val="20"/>
        </w:rPr>
      </w:pPr>
    </w:p>
    <w:p w14:paraId="1CB6AD16" w14:textId="77777777" w:rsidR="004B2A27" w:rsidRPr="0052393F" w:rsidRDefault="004B2A27" w:rsidP="004B2A27">
      <w:pPr>
        <w:spacing w:line="360" w:lineRule="auto"/>
        <w:jc w:val="both"/>
        <w:rPr>
          <w:rFonts w:ascii="Arial" w:hAnsi="Arial" w:cs="Arial"/>
          <w:sz w:val="20"/>
          <w:szCs w:val="20"/>
        </w:rPr>
      </w:pPr>
      <w:r w:rsidRPr="0052393F">
        <w:rPr>
          <w:rFonts w:ascii="Arial" w:hAnsi="Arial" w:cs="Arial"/>
          <w:sz w:val="20"/>
          <w:szCs w:val="20"/>
        </w:rPr>
        <w:t xml:space="preserve">La soumission agréée fera l’objet d’un contrat entre l’OIF et le prestataire de services retenu et aucun soumissionnaire ne pourra être considéré comme retenu sans qu’il </w:t>
      </w:r>
      <w:r w:rsidR="00B5711D" w:rsidRPr="0052393F">
        <w:rPr>
          <w:rFonts w:ascii="Arial" w:hAnsi="Arial" w:cs="Arial"/>
          <w:sz w:val="20"/>
          <w:szCs w:val="20"/>
        </w:rPr>
        <w:t>n’</w:t>
      </w:r>
      <w:r w:rsidRPr="0052393F">
        <w:rPr>
          <w:rFonts w:ascii="Arial" w:hAnsi="Arial" w:cs="Arial"/>
          <w:sz w:val="20"/>
          <w:szCs w:val="20"/>
        </w:rPr>
        <w:t>en ait été avisé par écrit.</w:t>
      </w:r>
    </w:p>
    <w:p w14:paraId="4E73284C" w14:textId="77777777" w:rsidR="0034038E" w:rsidRPr="0052393F" w:rsidRDefault="0034038E" w:rsidP="004B2A27">
      <w:pPr>
        <w:spacing w:line="360" w:lineRule="auto"/>
        <w:jc w:val="both"/>
        <w:rPr>
          <w:rFonts w:ascii="Arial" w:hAnsi="Arial" w:cs="Arial"/>
          <w:sz w:val="20"/>
          <w:szCs w:val="20"/>
        </w:rPr>
      </w:pPr>
    </w:p>
    <w:p w14:paraId="32DDC29A" w14:textId="77777777" w:rsidR="0001575D" w:rsidRPr="0052393F" w:rsidRDefault="0001575D" w:rsidP="0001575D">
      <w:pPr>
        <w:pStyle w:val="Titre1Helvetica11ptGras"/>
        <w:numPr>
          <w:ilvl w:val="0"/>
          <w:numId w:val="1"/>
        </w:numPr>
        <w:rPr>
          <w:rFonts w:ascii="Arial" w:hAnsi="Arial" w:cs="Arial"/>
          <w:caps w:val="0"/>
          <w:sz w:val="24"/>
          <w:szCs w:val="32"/>
        </w:rPr>
      </w:pPr>
      <w:bookmarkStart w:id="12" w:name="_Toc55171166"/>
      <w:r w:rsidRPr="0052393F">
        <w:rPr>
          <w:rFonts w:ascii="Arial" w:hAnsi="Arial" w:cs="Arial"/>
          <w:caps w:val="0"/>
          <w:sz w:val="24"/>
          <w:szCs w:val="32"/>
        </w:rPr>
        <w:t>D</w:t>
      </w:r>
      <w:r w:rsidR="003833AC" w:rsidRPr="0052393F">
        <w:rPr>
          <w:rFonts w:ascii="Arial" w:hAnsi="Arial" w:cs="Arial"/>
          <w:caps w:val="0"/>
          <w:sz w:val="24"/>
          <w:szCs w:val="32"/>
        </w:rPr>
        <w:t>é</w:t>
      </w:r>
      <w:r w:rsidRPr="0052393F">
        <w:rPr>
          <w:rFonts w:ascii="Arial" w:hAnsi="Arial" w:cs="Arial"/>
          <w:caps w:val="0"/>
          <w:sz w:val="24"/>
          <w:szCs w:val="32"/>
        </w:rPr>
        <w:t>lai d’exécution de la prestation</w:t>
      </w:r>
      <w:bookmarkEnd w:id="12"/>
    </w:p>
    <w:p w14:paraId="3B390725" w14:textId="432B4D76" w:rsidR="00732D9D" w:rsidRPr="00010F35" w:rsidRDefault="0001575D" w:rsidP="004B2A27">
      <w:pPr>
        <w:spacing w:line="360" w:lineRule="auto"/>
        <w:jc w:val="both"/>
        <w:rPr>
          <w:rFonts w:ascii="Arial" w:hAnsi="Arial" w:cs="Arial"/>
          <w:b/>
          <w:sz w:val="20"/>
          <w:szCs w:val="20"/>
        </w:rPr>
      </w:pPr>
      <w:r w:rsidRPr="0052393F">
        <w:rPr>
          <w:rFonts w:ascii="Arial" w:hAnsi="Arial" w:cs="Arial"/>
          <w:sz w:val="20"/>
          <w:szCs w:val="20"/>
        </w:rPr>
        <w:t xml:space="preserve">La prestation demandée doit être réalisée </w:t>
      </w:r>
      <w:r w:rsidR="00030D9A" w:rsidRPr="0052393F">
        <w:rPr>
          <w:rFonts w:ascii="Arial" w:hAnsi="Arial" w:cs="Arial"/>
          <w:sz w:val="20"/>
          <w:szCs w:val="20"/>
        </w:rPr>
        <w:t xml:space="preserve">en fonction de la planification annuelle des activités du CREFAP, </w:t>
      </w:r>
      <w:r w:rsidR="00872B02" w:rsidRPr="0052393F">
        <w:rPr>
          <w:rFonts w:ascii="Arial" w:hAnsi="Arial" w:cs="Arial"/>
          <w:b/>
          <w:sz w:val="20"/>
          <w:szCs w:val="20"/>
        </w:rPr>
        <w:t>selon le</w:t>
      </w:r>
      <w:r w:rsidR="00030D9A" w:rsidRPr="0052393F">
        <w:rPr>
          <w:rFonts w:ascii="Arial" w:hAnsi="Arial" w:cs="Arial"/>
          <w:b/>
          <w:sz w:val="20"/>
          <w:szCs w:val="20"/>
        </w:rPr>
        <w:t>s délais</w:t>
      </w:r>
      <w:r w:rsidR="00872B02" w:rsidRPr="0052393F">
        <w:rPr>
          <w:rFonts w:ascii="Arial" w:hAnsi="Arial" w:cs="Arial"/>
          <w:b/>
          <w:sz w:val="20"/>
          <w:szCs w:val="20"/>
        </w:rPr>
        <w:t xml:space="preserve"> spécifié</w:t>
      </w:r>
      <w:r w:rsidR="00030D9A" w:rsidRPr="0052393F">
        <w:rPr>
          <w:rFonts w:ascii="Arial" w:hAnsi="Arial" w:cs="Arial"/>
          <w:b/>
          <w:sz w:val="20"/>
          <w:szCs w:val="20"/>
        </w:rPr>
        <w:t>s</w:t>
      </w:r>
      <w:r w:rsidR="00872B02" w:rsidRPr="0052393F">
        <w:rPr>
          <w:rFonts w:ascii="Arial" w:hAnsi="Arial" w:cs="Arial"/>
          <w:b/>
          <w:sz w:val="20"/>
          <w:szCs w:val="20"/>
        </w:rPr>
        <w:t xml:space="preserve"> dans </w:t>
      </w:r>
      <w:r w:rsidR="009C1AD8">
        <w:rPr>
          <w:rFonts w:ascii="Arial" w:hAnsi="Arial" w:cs="Arial"/>
          <w:b/>
          <w:sz w:val="20"/>
          <w:szCs w:val="20"/>
        </w:rPr>
        <w:t>l’Annexe 1.</w:t>
      </w:r>
    </w:p>
    <w:p w14:paraId="15D3DA11" w14:textId="77777777" w:rsidR="00923E2E" w:rsidRPr="0052393F" w:rsidRDefault="00923E2E" w:rsidP="004B2A27">
      <w:pPr>
        <w:spacing w:line="360" w:lineRule="auto"/>
        <w:jc w:val="both"/>
        <w:rPr>
          <w:rFonts w:ascii="Arial" w:hAnsi="Arial" w:cs="Arial"/>
          <w:sz w:val="20"/>
          <w:szCs w:val="20"/>
        </w:rPr>
      </w:pPr>
    </w:p>
    <w:p w14:paraId="7B618235" w14:textId="77777777" w:rsidR="004B2A27" w:rsidRPr="0052393F" w:rsidRDefault="004B2A27" w:rsidP="004B2A27">
      <w:pPr>
        <w:pStyle w:val="Titre1Helvetica11ptGras"/>
        <w:numPr>
          <w:ilvl w:val="0"/>
          <w:numId w:val="1"/>
        </w:numPr>
        <w:rPr>
          <w:rFonts w:ascii="Arial" w:hAnsi="Arial" w:cs="Arial"/>
          <w:caps w:val="0"/>
          <w:sz w:val="24"/>
          <w:szCs w:val="32"/>
        </w:rPr>
      </w:pPr>
      <w:bookmarkStart w:id="13" w:name="_Toc349404229"/>
      <w:bookmarkStart w:id="14" w:name="_Toc55171167"/>
      <w:r w:rsidRPr="0052393F">
        <w:rPr>
          <w:rFonts w:ascii="Arial" w:hAnsi="Arial" w:cs="Arial"/>
          <w:caps w:val="0"/>
          <w:sz w:val="24"/>
          <w:szCs w:val="32"/>
        </w:rPr>
        <w:t>Période de validité</w:t>
      </w:r>
      <w:bookmarkEnd w:id="13"/>
      <w:bookmarkEnd w:id="14"/>
    </w:p>
    <w:p w14:paraId="671C9F79" w14:textId="4BDCFB7E" w:rsidR="00645F1D" w:rsidRDefault="004B2A27" w:rsidP="004B2A27">
      <w:pPr>
        <w:spacing w:line="360" w:lineRule="auto"/>
        <w:jc w:val="both"/>
        <w:rPr>
          <w:rFonts w:ascii="Arial" w:hAnsi="Arial" w:cs="Arial"/>
          <w:sz w:val="20"/>
          <w:szCs w:val="20"/>
        </w:rPr>
      </w:pPr>
      <w:r w:rsidRPr="0052393F">
        <w:rPr>
          <w:rFonts w:ascii="Arial" w:hAnsi="Arial" w:cs="Arial"/>
          <w:sz w:val="20"/>
          <w:szCs w:val="20"/>
        </w:rPr>
        <w:t>Chaque soumissionnaire reste lié par son offre pendant une période de 90 jours à compter de la date limite pour la remise des offres.</w:t>
      </w:r>
    </w:p>
    <w:p w14:paraId="77A8E36B" w14:textId="25296720" w:rsidR="009A3747" w:rsidRDefault="009A3747" w:rsidP="004B2A27">
      <w:pPr>
        <w:spacing w:line="360" w:lineRule="auto"/>
        <w:jc w:val="both"/>
        <w:rPr>
          <w:rFonts w:ascii="Arial" w:hAnsi="Arial" w:cs="Arial"/>
          <w:sz w:val="20"/>
          <w:szCs w:val="20"/>
        </w:rPr>
      </w:pPr>
    </w:p>
    <w:p w14:paraId="4065F5CA" w14:textId="229324F2" w:rsidR="009A3747" w:rsidRDefault="009A3747" w:rsidP="004B2A27">
      <w:pPr>
        <w:spacing w:line="360" w:lineRule="auto"/>
        <w:jc w:val="both"/>
        <w:rPr>
          <w:rFonts w:ascii="Arial" w:hAnsi="Arial" w:cs="Arial"/>
          <w:sz w:val="20"/>
          <w:szCs w:val="20"/>
        </w:rPr>
      </w:pPr>
    </w:p>
    <w:p w14:paraId="01FD143C" w14:textId="77777777" w:rsidR="009A3747" w:rsidRPr="0052393F" w:rsidRDefault="009A3747" w:rsidP="004B2A27">
      <w:pPr>
        <w:spacing w:line="360" w:lineRule="auto"/>
        <w:jc w:val="both"/>
        <w:rPr>
          <w:rFonts w:ascii="Arial" w:hAnsi="Arial" w:cs="Arial"/>
          <w:sz w:val="20"/>
          <w:szCs w:val="20"/>
        </w:rPr>
      </w:pPr>
    </w:p>
    <w:p w14:paraId="501EE323" w14:textId="77777777" w:rsidR="004B2A27" w:rsidRPr="0052393F" w:rsidRDefault="004B2A27" w:rsidP="004B2A27">
      <w:pPr>
        <w:pStyle w:val="Titre1Helvetica11ptGras"/>
        <w:numPr>
          <w:ilvl w:val="0"/>
          <w:numId w:val="1"/>
        </w:numPr>
        <w:rPr>
          <w:rFonts w:ascii="Arial" w:hAnsi="Arial" w:cs="Arial"/>
          <w:caps w:val="0"/>
          <w:sz w:val="24"/>
          <w:szCs w:val="32"/>
        </w:rPr>
      </w:pPr>
      <w:r w:rsidRPr="0052393F">
        <w:rPr>
          <w:rFonts w:ascii="Arial" w:hAnsi="Arial" w:cs="Arial"/>
          <w:caps w:val="0"/>
          <w:sz w:val="24"/>
          <w:szCs w:val="32"/>
        </w:rPr>
        <w:lastRenderedPageBreak/>
        <w:t xml:space="preserve"> </w:t>
      </w:r>
      <w:bookmarkStart w:id="15" w:name="_Toc55171168"/>
      <w:r w:rsidRPr="0052393F">
        <w:rPr>
          <w:rFonts w:ascii="Arial" w:hAnsi="Arial" w:cs="Arial"/>
          <w:caps w:val="0"/>
          <w:sz w:val="24"/>
          <w:szCs w:val="32"/>
        </w:rPr>
        <w:t>Dossier de réponse</w:t>
      </w:r>
      <w:bookmarkEnd w:id="15"/>
      <w:r w:rsidRPr="0052393F">
        <w:rPr>
          <w:rFonts w:ascii="Arial" w:hAnsi="Arial" w:cs="Arial"/>
          <w:caps w:val="0"/>
          <w:sz w:val="24"/>
          <w:szCs w:val="32"/>
        </w:rPr>
        <w:t xml:space="preserve"> </w:t>
      </w:r>
    </w:p>
    <w:p w14:paraId="4BFC8B0F" w14:textId="77777777" w:rsidR="009D28B9" w:rsidRPr="0052393F" w:rsidRDefault="009D28B9" w:rsidP="00645F1D">
      <w:pPr>
        <w:pStyle w:val="Titre1Helvetica11ptGras"/>
        <w:jc w:val="both"/>
        <w:rPr>
          <w:rFonts w:ascii="Arial" w:hAnsi="Arial" w:cs="Arial"/>
          <w:b w:val="0"/>
          <w:caps w:val="0"/>
          <w:sz w:val="20"/>
          <w:szCs w:val="20"/>
        </w:rPr>
      </w:pPr>
      <w:bookmarkStart w:id="16" w:name="_Toc55171169"/>
      <w:r w:rsidRPr="0052393F">
        <w:rPr>
          <w:rFonts w:ascii="Arial" w:hAnsi="Arial" w:cs="Arial"/>
          <w:b w:val="0"/>
          <w:caps w:val="0"/>
          <w:sz w:val="20"/>
          <w:szCs w:val="20"/>
        </w:rPr>
        <w:t>Le dossier de réponse est un ensemble de documents administratifs, techniques et financiers qui permetten</w:t>
      </w:r>
      <w:r w:rsidR="00645F1D" w:rsidRPr="0052393F">
        <w:rPr>
          <w:rFonts w:ascii="Arial" w:hAnsi="Arial" w:cs="Arial"/>
          <w:b w:val="0"/>
          <w:caps w:val="0"/>
          <w:sz w:val="20"/>
          <w:szCs w:val="20"/>
        </w:rPr>
        <w:t>t d’</w:t>
      </w:r>
      <w:r w:rsidRPr="0052393F">
        <w:rPr>
          <w:rFonts w:ascii="Arial" w:hAnsi="Arial" w:cs="Arial"/>
          <w:b w:val="0"/>
          <w:caps w:val="0"/>
          <w:sz w:val="20"/>
          <w:szCs w:val="20"/>
        </w:rPr>
        <w:t xml:space="preserve">évaluer la pertinence de l’offre du soumissionnaire selon les exigences décrites </w:t>
      </w:r>
      <w:r w:rsidR="002F0563" w:rsidRPr="0052393F">
        <w:rPr>
          <w:rFonts w:ascii="Arial" w:hAnsi="Arial" w:cs="Arial"/>
          <w:b w:val="0"/>
          <w:caps w:val="0"/>
          <w:sz w:val="20"/>
          <w:szCs w:val="20"/>
        </w:rPr>
        <w:t>par le cahier des charges</w:t>
      </w:r>
      <w:r w:rsidR="000D5755" w:rsidRPr="0052393F">
        <w:rPr>
          <w:rFonts w:ascii="Arial" w:hAnsi="Arial" w:cs="Arial"/>
          <w:b w:val="0"/>
          <w:caps w:val="0"/>
          <w:sz w:val="20"/>
          <w:szCs w:val="20"/>
        </w:rPr>
        <w:t>/termes de références</w:t>
      </w:r>
      <w:r w:rsidR="002F0563" w:rsidRPr="0052393F">
        <w:rPr>
          <w:rFonts w:ascii="Arial" w:hAnsi="Arial" w:cs="Arial"/>
          <w:b w:val="0"/>
          <w:caps w:val="0"/>
          <w:sz w:val="20"/>
          <w:szCs w:val="20"/>
        </w:rPr>
        <w:t>.</w:t>
      </w:r>
      <w:bookmarkEnd w:id="16"/>
    </w:p>
    <w:p w14:paraId="326F9405" w14:textId="77777777" w:rsidR="009D28B9" w:rsidRPr="0052393F" w:rsidRDefault="009D28B9" w:rsidP="009D28B9">
      <w:pPr>
        <w:pStyle w:val="Titre1Helvetica11ptGras"/>
        <w:numPr>
          <w:ilvl w:val="1"/>
          <w:numId w:val="1"/>
        </w:numPr>
        <w:rPr>
          <w:rFonts w:ascii="Arial" w:hAnsi="Arial" w:cs="Arial"/>
          <w:caps w:val="0"/>
          <w:sz w:val="24"/>
          <w:szCs w:val="32"/>
        </w:rPr>
      </w:pPr>
      <w:bookmarkStart w:id="17" w:name="_Toc55171170"/>
      <w:r w:rsidRPr="0052393F">
        <w:rPr>
          <w:rFonts w:ascii="Arial" w:hAnsi="Arial" w:cs="Arial"/>
          <w:caps w:val="0"/>
          <w:sz w:val="24"/>
          <w:szCs w:val="32"/>
        </w:rPr>
        <w:t>Dossier technique</w:t>
      </w:r>
      <w:bookmarkEnd w:id="17"/>
      <w:r w:rsidRPr="0052393F">
        <w:rPr>
          <w:rFonts w:ascii="Arial" w:hAnsi="Arial" w:cs="Arial"/>
          <w:caps w:val="0"/>
          <w:sz w:val="24"/>
          <w:szCs w:val="32"/>
        </w:rPr>
        <w:t xml:space="preserve"> </w:t>
      </w:r>
    </w:p>
    <w:p w14:paraId="7D8E47EC" w14:textId="77777777" w:rsidR="005C1BF2" w:rsidRPr="0052393F" w:rsidRDefault="00645F1D" w:rsidP="00645F1D">
      <w:pPr>
        <w:pStyle w:val="Titre1Helvetica11ptGras"/>
        <w:jc w:val="both"/>
        <w:rPr>
          <w:rFonts w:ascii="Arial" w:hAnsi="Arial" w:cs="Arial"/>
          <w:b w:val="0"/>
          <w:caps w:val="0"/>
          <w:sz w:val="20"/>
          <w:szCs w:val="20"/>
        </w:rPr>
      </w:pPr>
      <w:bookmarkStart w:id="18" w:name="_Toc46946494"/>
      <w:bookmarkStart w:id="19" w:name="_Toc47012012"/>
      <w:bookmarkStart w:id="20" w:name="_Toc48657177"/>
      <w:bookmarkStart w:id="21" w:name="_Toc55171171"/>
      <w:r w:rsidRPr="0052393F">
        <w:rPr>
          <w:rFonts w:ascii="Arial" w:hAnsi="Arial" w:cs="Arial"/>
          <w:b w:val="0"/>
          <w:caps w:val="0"/>
          <w:sz w:val="20"/>
          <w:szCs w:val="20"/>
        </w:rPr>
        <w:t xml:space="preserve">Dans le </w:t>
      </w:r>
      <w:r w:rsidR="009D28B9" w:rsidRPr="0052393F">
        <w:rPr>
          <w:rFonts w:ascii="Arial" w:hAnsi="Arial" w:cs="Arial"/>
          <w:b w:val="0"/>
          <w:caps w:val="0"/>
          <w:sz w:val="20"/>
          <w:szCs w:val="20"/>
        </w:rPr>
        <w:t xml:space="preserve">dossier technique, il est demandé au soumissionnaire de préciser sa compréhension </w:t>
      </w:r>
      <w:r w:rsidR="005C1BF2" w:rsidRPr="0052393F">
        <w:rPr>
          <w:rFonts w:ascii="Arial" w:hAnsi="Arial" w:cs="Arial"/>
          <w:b w:val="0"/>
          <w:caps w:val="0"/>
          <w:sz w:val="20"/>
          <w:szCs w:val="20"/>
        </w:rPr>
        <w:t xml:space="preserve">de la prestation demandée, </w:t>
      </w:r>
      <w:r w:rsidR="009D28B9" w:rsidRPr="0052393F">
        <w:rPr>
          <w:rFonts w:ascii="Arial" w:hAnsi="Arial" w:cs="Arial"/>
          <w:b w:val="0"/>
          <w:caps w:val="0"/>
          <w:sz w:val="20"/>
          <w:szCs w:val="20"/>
        </w:rPr>
        <w:t>d’indiquer sa vision du projet,</w:t>
      </w:r>
      <w:r w:rsidRPr="0052393F">
        <w:rPr>
          <w:rFonts w:ascii="Arial" w:hAnsi="Arial" w:cs="Arial"/>
          <w:b w:val="0"/>
          <w:caps w:val="0"/>
          <w:sz w:val="20"/>
          <w:szCs w:val="20"/>
        </w:rPr>
        <w:t xml:space="preserve"> de décrire la démarche</w:t>
      </w:r>
      <w:r w:rsidR="005C1BF2" w:rsidRPr="0052393F">
        <w:rPr>
          <w:rFonts w:ascii="Arial" w:hAnsi="Arial" w:cs="Arial"/>
          <w:b w:val="0"/>
          <w:caps w:val="0"/>
          <w:sz w:val="20"/>
          <w:szCs w:val="20"/>
        </w:rPr>
        <w:t xml:space="preserve"> proposée et de décliner la méthodologie qu’il utilisera pour la réalisation du projet.</w:t>
      </w:r>
      <w:bookmarkEnd w:id="18"/>
      <w:bookmarkEnd w:id="19"/>
      <w:bookmarkEnd w:id="20"/>
      <w:bookmarkEnd w:id="21"/>
    </w:p>
    <w:p w14:paraId="566A2D35" w14:textId="77777777" w:rsidR="009D28B9" w:rsidRPr="0052393F" w:rsidRDefault="009D28B9" w:rsidP="009D28B9">
      <w:pPr>
        <w:pStyle w:val="Titre1Helvetica11ptGras"/>
        <w:numPr>
          <w:ilvl w:val="1"/>
          <w:numId w:val="1"/>
        </w:numPr>
        <w:rPr>
          <w:rFonts w:ascii="Arial" w:hAnsi="Arial" w:cs="Arial"/>
          <w:caps w:val="0"/>
          <w:sz w:val="24"/>
          <w:szCs w:val="32"/>
        </w:rPr>
      </w:pPr>
      <w:bookmarkStart w:id="22" w:name="_Toc55171172"/>
      <w:r w:rsidRPr="0052393F">
        <w:rPr>
          <w:rFonts w:ascii="Arial" w:hAnsi="Arial" w:cs="Arial"/>
          <w:caps w:val="0"/>
          <w:sz w:val="24"/>
          <w:szCs w:val="32"/>
        </w:rPr>
        <w:t>Dossier administratif</w:t>
      </w:r>
      <w:bookmarkEnd w:id="22"/>
    </w:p>
    <w:p w14:paraId="4255297D" w14:textId="77777777" w:rsidR="008B532D" w:rsidRPr="0052393F" w:rsidRDefault="009D28B9" w:rsidP="00282E71">
      <w:pPr>
        <w:pStyle w:val="Titre1Helvetica11ptGras"/>
        <w:spacing w:after="0"/>
        <w:jc w:val="both"/>
        <w:rPr>
          <w:rFonts w:ascii="Arial" w:hAnsi="Arial" w:cs="Arial"/>
          <w:b w:val="0"/>
          <w:caps w:val="0"/>
          <w:sz w:val="20"/>
          <w:szCs w:val="20"/>
        </w:rPr>
      </w:pPr>
      <w:bookmarkStart w:id="23" w:name="_Toc46946496"/>
      <w:bookmarkStart w:id="24" w:name="_Toc47012014"/>
      <w:bookmarkStart w:id="25" w:name="_Toc48657179"/>
      <w:bookmarkStart w:id="26" w:name="_Toc55171173"/>
      <w:r w:rsidRPr="0052393F">
        <w:rPr>
          <w:rFonts w:ascii="Arial" w:hAnsi="Arial" w:cs="Arial"/>
          <w:b w:val="0"/>
          <w:caps w:val="0"/>
          <w:sz w:val="20"/>
          <w:szCs w:val="20"/>
        </w:rPr>
        <w:t>Le dossier administratif présente le soumissionnaire, son statut juridique et ses habilitations à fournir le service demandé</w:t>
      </w:r>
      <w:bookmarkEnd w:id="23"/>
      <w:bookmarkEnd w:id="24"/>
      <w:bookmarkEnd w:id="25"/>
      <w:bookmarkEnd w:id="26"/>
      <w:r w:rsidR="008B532D" w:rsidRPr="0052393F">
        <w:rPr>
          <w:rFonts w:ascii="Arial" w:hAnsi="Arial" w:cs="Arial"/>
          <w:b w:val="0"/>
          <w:caps w:val="0"/>
          <w:sz w:val="20"/>
          <w:szCs w:val="20"/>
        </w:rPr>
        <w:t xml:space="preserve"> notamment :</w:t>
      </w:r>
      <w:r w:rsidR="008B532D" w:rsidRPr="0052393F">
        <w:rPr>
          <w:rFonts w:ascii="Arial" w:hAnsi="Arial" w:cs="Arial"/>
          <w:sz w:val="20"/>
          <w:szCs w:val="20"/>
          <w:lang w:val="fr-CA"/>
        </w:rPr>
        <w:t xml:space="preserve"> </w:t>
      </w:r>
    </w:p>
    <w:p w14:paraId="58257514" w14:textId="77777777" w:rsidR="008B532D" w:rsidRPr="0052393F" w:rsidRDefault="008B532D" w:rsidP="008B532D">
      <w:pPr>
        <w:tabs>
          <w:tab w:val="left" w:pos="1380"/>
          <w:tab w:val="left" w:pos="4580"/>
        </w:tabs>
        <w:rPr>
          <w:rFonts w:ascii="Arial" w:hAnsi="Arial" w:cs="Arial"/>
          <w:sz w:val="20"/>
          <w:szCs w:val="20"/>
          <w:lang w:val="fr-CA"/>
        </w:rPr>
      </w:pPr>
    </w:p>
    <w:p w14:paraId="300963D9" w14:textId="7C7699BF" w:rsidR="008B532D" w:rsidRPr="0052393F" w:rsidRDefault="008B532D" w:rsidP="008B532D">
      <w:pPr>
        <w:pStyle w:val="Paragraphedeliste"/>
        <w:numPr>
          <w:ilvl w:val="0"/>
          <w:numId w:val="8"/>
        </w:numPr>
        <w:tabs>
          <w:tab w:val="num" w:pos="360"/>
          <w:tab w:val="left" w:pos="1380"/>
          <w:tab w:val="left" w:pos="4580"/>
        </w:tabs>
        <w:jc w:val="both"/>
        <w:rPr>
          <w:rFonts w:ascii="Arial" w:hAnsi="Arial" w:cs="Arial"/>
          <w:bCs/>
          <w:noProof/>
          <w:sz w:val="20"/>
          <w:szCs w:val="20"/>
        </w:rPr>
      </w:pPr>
      <w:r w:rsidRPr="0052393F">
        <w:rPr>
          <w:rFonts w:ascii="Arial" w:hAnsi="Arial" w:cs="Arial"/>
          <w:bCs/>
          <w:noProof/>
          <w:sz w:val="20"/>
          <w:szCs w:val="20"/>
        </w:rPr>
        <w:t xml:space="preserve">la situation fiscale et sociale de son entreprise </w:t>
      </w:r>
      <w:r w:rsidR="009E33CC">
        <w:rPr>
          <w:rFonts w:ascii="Arial" w:hAnsi="Arial" w:cs="Arial"/>
          <w:bCs/>
          <w:noProof/>
          <w:sz w:val="20"/>
          <w:szCs w:val="20"/>
        </w:rPr>
        <w:t>(</w:t>
      </w:r>
      <w:r w:rsidRPr="0052393F">
        <w:rPr>
          <w:rFonts w:ascii="Arial" w:hAnsi="Arial" w:cs="Arial"/>
          <w:bCs/>
          <w:noProof/>
          <w:sz w:val="20"/>
          <w:szCs w:val="20"/>
        </w:rPr>
        <w:t>régularité de la situation administrative au regard de la législation et de la réglementation sociale et fiscale de son pays</w:t>
      </w:r>
      <w:r w:rsidR="009E33CC">
        <w:rPr>
          <w:rFonts w:ascii="Arial" w:hAnsi="Arial" w:cs="Arial"/>
          <w:bCs/>
          <w:noProof/>
          <w:sz w:val="20"/>
          <w:szCs w:val="20"/>
        </w:rPr>
        <w:t>)</w:t>
      </w:r>
      <w:r w:rsidRPr="0052393F">
        <w:rPr>
          <w:rFonts w:ascii="Arial" w:hAnsi="Arial" w:cs="Arial"/>
          <w:bCs/>
          <w:noProof/>
          <w:sz w:val="20"/>
          <w:szCs w:val="20"/>
        </w:rPr>
        <w:t xml:space="preserve"> ;</w:t>
      </w:r>
    </w:p>
    <w:p w14:paraId="73483EAA" w14:textId="301321E9" w:rsidR="008B532D" w:rsidRPr="0052393F" w:rsidRDefault="008B532D" w:rsidP="008B532D">
      <w:pPr>
        <w:pStyle w:val="Paragraphedeliste"/>
        <w:numPr>
          <w:ilvl w:val="0"/>
          <w:numId w:val="8"/>
        </w:numPr>
        <w:tabs>
          <w:tab w:val="left" w:pos="1380"/>
          <w:tab w:val="left" w:pos="4580"/>
        </w:tabs>
        <w:jc w:val="both"/>
        <w:rPr>
          <w:rFonts w:ascii="Arial" w:hAnsi="Arial" w:cs="Arial"/>
          <w:bCs/>
          <w:noProof/>
          <w:sz w:val="20"/>
          <w:szCs w:val="20"/>
        </w:rPr>
      </w:pPr>
      <w:r w:rsidRPr="0052393F">
        <w:rPr>
          <w:rFonts w:ascii="Arial" w:hAnsi="Arial" w:cs="Arial"/>
          <w:bCs/>
          <w:noProof/>
          <w:sz w:val="20"/>
          <w:szCs w:val="20"/>
        </w:rPr>
        <w:t xml:space="preserve">la forme juridique de son entreprise et le nom de la personne physique </w:t>
      </w:r>
      <w:r w:rsidR="009E33CC">
        <w:rPr>
          <w:rFonts w:ascii="Arial" w:hAnsi="Arial" w:cs="Arial"/>
          <w:bCs/>
          <w:noProof/>
          <w:sz w:val="20"/>
          <w:szCs w:val="20"/>
        </w:rPr>
        <w:t xml:space="preserve">responsable </w:t>
      </w:r>
      <w:r w:rsidRPr="0052393F">
        <w:rPr>
          <w:rFonts w:ascii="Arial" w:hAnsi="Arial" w:cs="Arial"/>
          <w:bCs/>
          <w:noProof/>
          <w:sz w:val="20"/>
          <w:szCs w:val="20"/>
        </w:rPr>
        <w:t xml:space="preserve">; </w:t>
      </w:r>
    </w:p>
    <w:p w14:paraId="49C2D090" w14:textId="6908B03F" w:rsidR="008B532D" w:rsidRPr="0052393F" w:rsidRDefault="008B532D" w:rsidP="008B532D">
      <w:pPr>
        <w:pStyle w:val="Paragraphedeliste"/>
        <w:numPr>
          <w:ilvl w:val="0"/>
          <w:numId w:val="8"/>
        </w:numPr>
        <w:tabs>
          <w:tab w:val="left" w:pos="1380"/>
          <w:tab w:val="left" w:pos="4580"/>
        </w:tabs>
        <w:jc w:val="both"/>
        <w:rPr>
          <w:rFonts w:ascii="Arial" w:hAnsi="Arial" w:cs="Arial"/>
          <w:bCs/>
          <w:noProof/>
          <w:sz w:val="20"/>
          <w:szCs w:val="20"/>
        </w:rPr>
      </w:pPr>
      <w:r w:rsidRPr="0052393F">
        <w:rPr>
          <w:rFonts w:ascii="Arial" w:hAnsi="Arial" w:cs="Arial"/>
          <w:bCs/>
          <w:noProof/>
          <w:sz w:val="20"/>
          <w:szCs w:val="20"/>
        </w:rPr>
        <w:t xml:space="preserve">le volume d’affaires traité et le chiffre d’affaires hors taxes (HT) des trois derniers exercices clos ; </w:t>
      </w:r>
    </w:p>
    <w:p w14:paraId="7FBE97BA" w14:textId="28297CD0" w:rsidR="008B532D" w:rsidRPr="0052393F" w:rsidRDefault="008B532D" w:rsidP="008B532D">
      <w:pPr>
        <w:pStyle w:val="Paragraphedeliste"/>
        <w:numPr>
          <w:ilvl w:val="0"/>
          <w:numId w:val="8"/>
        </w:numPr>
        <w:tabs>
          <w:tab w:val="left" w:pos="1380"/>
          <w:tab w:val="left" w:pos="4580"/>
        </w:tabs>
        <w:jc w:val="both"/>
        <w:rPr>
          <w:rFonts w:ascii="Arial" w:hAnsi="Arial" w:cs="Arial"/>
          <w:sz w:val="20"/>
          <w:szCs w:val="20"/>
          <w:lang w:val="fr-CA"/>
        </w:rPr>
      </w:pPr>
      <w:r w:rsidRPr="0052393F">
        <w:rPr>
          <w:rFonts w:ascii="Arial" w:hAnsi="Arial" w:cs="Arial"/>
          <w:bCs/>
          <w:noProof/>
          <w:sz w:val="20"/>
          <w:szCs w:val="20"/>
        </w:rPr>
        <w:t xml:space="preserve">les ressources humaines </w:t>
      </w:r>
      <w:r w:rsidR="009E33CC">
        <w:rPr>
          <w:rFonts w:ascii="Arial" w:hAnsi="Arial" w:cs="Arial"/>
          <w:bCs/>
          <w:noProof/>
          <w:sz w:val="20"/>
          <w:szCs w:val="20"/>
        </w:rPr>
        <w:t xml:space="preserve">francophones </w:t>
      </w:r>
      <w:r w:rsidRPr="0052393F">
        <w:rPr>
          <w:rFonts w:ascii="Arial" w:hAnsi="Arial" w:cs="Arial"/>
          <w:bCs/>
          <w:noProof/>
          <w:sz w:val="20"/>
          <w:szCs w:val="20"/>
        </w:rPr>
        <w:t xml:space="preserve">susceptibles d’être mobilisées pour la réalisation des prestations afférentes à cet appel d’offres ; </w:t>
      </w:r>
    </w:p>
    <w:p w14:paraId="2C72B692" w14:textId="77777777" w:rsidR="009E33CC" w:rsidRDefault="009E33CC" w:rsidP="00645F1D">
      <w:pPr>
        <w:pStyle w:val="Titre1Helvetica11ptGras"/>
        <w:jc w:val="both"/>
        <w:rPr>
          <w:rFonts w:ascii="Arial" w:hAnsi="Arial" w:cs="Arial"/>
          <w:b w:val="0"/>
          <w:caps w:val="0"/>
          <w:sz w:val="20"/>
          <w:szCs w:val="20"/>
        </w:rPr>
      </w:pPr>
      <w:bookmarkStart w:id="27" w:name="_Toc55171174"/>
    </w:p>
    <w:p w14:paraId="32998DFF" w14:textId="5AA5F9F3" w:rsidR="005C1BF2" w:rsidRPr="0052393F" w:rsidRDefault="005C1BF2" w:rsidP="00645F1D">
      <w:pPr>
        <w:pStyle w:val="Titre1Helvetica11ptGras"/>
        <w:jc w:val="both"/>
        <w:rPr>
          <w:rFonts w:ascii="Arial" w:hAnsi="Arial" w:cs="Arial"/>
          <w:b w:val="0"/>
          <w:caps w:val="0"/>
          <w:sz w:val="20"/>
          <w:szCs w:val="20"/>
        </w:rPr>
      </w:pPr>
      <w:r w:rsidRPr="0052393F">
        <w:rPr>
          <w:rFonts w:ascii="Arial" w:hAnsi="Arial" w:cs="Arial"/>
          <w:b w:val="0"/>
          <w:caps w:val="0"/>
          <w:sz w:val="20"/>
          <w:szCs w:val="20"/>
        </w:rPr>
        <w:t>Les dossiers technique et administratif</w:t>
      </w:r>
      <w:r w:rsidR="002F0563" w:rsidRPr="0052393F">
        <w:rPr>
          <w:rFonts w:ascii="Arial" w:hAnsi="Arial" w:cs="Arial"/>
          <w:b w:val="0"/>
          <w:caps w:val="0"/>
          <w:sz w:val="20"/>
          <w:szCs w:val="20"/>
        </w:rPr>
        <w:t xml:space="preserve"> sont contenus dans</w:t>
      </w:r>
      <w:r w:rsidRPr="0052393F">
        <w:rPr>
          <w:rFonts w:ascii="Arial" w:hAnsi="Arial" w:cs="Arial"/>
          <w:b w:val="0"/>
          <w:caps w:val="0"/>
          <w:sz w:val="20"/>
          <w:szCs w:val="20"/>
        </w:rPr>
        <w:t xml:space="preserve"> un fichier électronique, à compléter, joint aux documents de la présente consul</w:t>
      </w:r>
      <w:r w:rsidR="008B532D" w:rsidRPr="0052393F">
        <w:rPr>
          <w:rFonts w:ascii="Arial" w:hAnsi="Arial" w:cs="Arial"/>
          <w:b w:val="0"/>
          <w:caps w:val="0"/>
          <w:sz w:val="20"/>
          <w:szCs w:val="20"/>
        </w:rPr>
        <w:t xml:space="preserve">tation formalisée : (Annexe : </w:t>
      </w:r>
      <w:r w:rsidRPr="0052393F">
        <w:rPr>
          <w:rFonts w:ascii="Arial" w:hAnsi="Arial" w:cs="Arial"/>
          <w:b w:val="0"/>
          <w:caps w:val="0"/>
          <w:sz w:val="20"/>
          <w:szCs w:val="20"/>
        </w:rPr>
        <w:t>Dossier de réponse technique).</w:t>
      </w:r>
      <w:bookmarkEnd w:id="27"/>
      <w:r w:rsidRPr="0052393F">
        <w:rPr>
          <w:rFonts w:ascii="Arial" w:hAnsi="Arial" w:cs="Arial"/>
          <w:b w:val="0"/>
          <w:caps w:val="0"/>
          <w:sz w:val="20"/>
          <w:szCs w:val="20"/>
        </w:rPr>
        <w:t xml:space="preserve">  </w:t>
      </w:r>
    </w:p>
    <w:p w14:paraId="47E92C07" w14:textId="77777777" w:rsidR="009D28B9" w:rsidRPr="0052393F" w:rsidRDefault="009D28B9" w:rsidP="009D28B9">
      <w:pPr>
        <w:pStyle w:val="Titre1Helvetica11ptGras"/>
        <w:numPr>
          <w:ilvl w:val="1"/>
          <w:numId w:val="1"/>
        </w:numPr>
        <w:rPr>
          <w:rFonts w:ascii="Arial" w:hAnsi="Arial" w:cs="Arial"/>
          <w:caps w:val="0"/>
          <w:sz w:val="24"/>
          <w:szCs w:val="32"/>
        </w:rPr>
      </w:pPr>
      <w:bookmarkStart w:id="28" w:name="_Toc55171175"/>
      <w:r w:rsidRPr="0052393F">
        <w:rPr>
          <w:rFonts w:ascii="Arial" w:hAnsi="Arial" w:cs="Arial"/>
          <w:caps w:val="0"/>
          <w:sz w:val="24"/>
          <w:szCs w:val="32"/>
        </w:rPr>
        <w:t xml:space="preserve">Fiche </w:t>
      </w:r>
      <w:r w:rsidR="005C1BF2" w:rsidRPr="0052393F">
        <w:rPr>
          <w:rFonts w:ascii="Arial" w:hAnsi="Arial" w:cs="Arial"/>
          <w:caps w:val="0"/>
          <w:sz w:val="24"/>
          <w:szCs w:val="32"/>
        </w:rPr>
        <w:t xml:space="preserve">de réponse </w:t>
      </w:r>
      <w:r w:rsidRPr="0052393F">
        <w:rPr>
          <w:rFonts w:ascii="Arial" w:hAnsi="Arial" w:cs="Arial"/>
          <w:caps w:val="0"/>
          <w:sz w:val="24"/>
          <w:szCs w:val="32"/>
        </w:rPr>
        <w:t>financière</w:t>
      </w:r>
      <w:bookmarkEnd w:id="28"/>
    </w:p>
    <w:p w14:paraId="574AF1D1" w14:textId="0CD32139" w:rsidR="00D877EB" w:rsidRPr="0052393F" w:rsidRDefault="004B2A27" w:rsidP="00645F1D">
      <w:pPr>
        <w:pStyle w:val="Titre1Helvetica11ptGras"/>
        <w:jc w:val="both"/>
        <w:rPr>
          <w:rFonts w:ascii="Arial" w:hAnsi="Arial" w:cs="Arial"/>
          <w:b w:val="0"/>
          <w:caps w:val="0"/>
          <w:sz w:val="20"/>
          <w:szCs w:val="20"/>
        </w:rPr>
      </w:pPr>
      <w:bookmarkStart w:id="29" w:name="_Toc55171176"/>
      <w:r w:rsidRPr="0052393F">
        <w:rPr>
          <w:rFonts w:ascii="Arial" w:hAnsi="Arial" w:cs="Arial"/>
          <w:b w:val="0"/>
          <w:caps w:val="0"/>
          <w:sz w:val="20"/>
          <w:szCs w:val="20"/>
        </w:rPr>
        <w:t>La réponse financière doit p</w:t>
      </w:r>
      <w:r w:rsidR="00D877EB" w:rsidRPr="0052393F">
        <w:rPr>
          <w:rFonts w:ascii="Arial" w:hAnsi="Arial" w:cs="Arial"/>
          <w:b w:val="0"/>
          <w:caps w:val="0"/>
          <w:sz w:val="20"/>
          <w:szCs w:val="20"/>
        </w:rPr>
        <w:t xml:space="preserve">réciser le coût </w:t>
      </w:r>
      <w:r w:rsidR="006D1F4E">
        <w:rPr>
          <w:rFonts w:ascii="Arial" w:hAnsi="Arial" w:cs="Arial"/>
          <w:b w:val="0"/>
          <w:caps w:val="0"/>
          <w:sz w:val="20"/>
          <w:szCs w:val="20"/>
        </w:rPr>
        <w:t>TTC</w:t>
      </w:r>
      <w:r w:rsidRPr="0052393F">
        <w:rPr>
          <w:rFonts w:ascii="Arial" w:hAnsi="Arial" w:cs="Arial"/>
          <w:b w:val="0"/>
          <w:caps w:val="0"/>
          <w:sz w:val="20"/>
          <w:szCs w:val="20"/>
        </w:rPr>
        <w:t xml:space="preserve"> détaillé des </w:t>
      </w:r>
      <w:r w:rsidR="005C1BF2" w:rsidRPr="0052393F">
        <w:rPr>
          <w:rFonts w:ascii="Arial" w:hAnsi="Arial" w:cs="Arial"/>
          <w:b w:val="0"/>
          <w:caps w:val="0"/>
          <w:sz w:val="20"/>
          <w:szCs w:val="20"/>
        </w:rPr>
        <w:t xml:space="preserve">fournitures et </w:t>
      </w:r>
      <w:r w:rsidRPr="0052393F">
        <w:rPr>
          <w:rFonts w:ascii="Arial" w:hAnsi="Arial" w:cs="Arial"/>
          <w:b w:val="0"/>
          <w:caps w:val="0"/>
          <w:sz w:val="20"/>
          <w:szCs w:val="20"/>
        </w:rPr>
        <w:t xml:space="preserve">prestations </w:t>
      </w:r>
      <w:r w:rsidR="005C1BF2" w:rsidRPr="0052393F">
        <w:rPr>
          <w:rFonts w:ascii="Arial" w:hAnsi="Arial" w:cs="Arial"/>
          <w:b w:val="0"/>
          <w:caps w:val="0"/>
          <w:sz w:val="20"/>
          <w:szCs w:val="20"/>
        </w:rPr>
        <w:t xml:space="preserve">conformément au </w:t>
      </w:r>
      <w:r w:rsidRPr="0052393F">
        <w:rPr>
          <w:rFonts w:ascii="Arial" w:hAnsi="Arial" w:cs="Arial"/>
          <w:b w:val="0"/>
          <w:caps w:val="0"/>
          <w:sz w:val="20"/>
          <w:szCs w:val="20"/>
        </w:rPr>
        <w:t>cahier des charges.</w:t>
      </w:r>
      <w:bookmarkEnd w:id="29"/>
    </w:p>
    <w:p w14:paraId="712BC0A1" w14:textId="77777777" w:rsidR="004B2A27" w:rsidRPr="0052393F" w:rsidRDefault="004B2A27" w:rsidP="00645F1D">
      <w:pPr>
        <w:pStyle w:val="Titre1Helvetica11ptGras"/>
        <w:jc w:val="both"/>
        <w:rPr>
          <w:rFonts w:ascii="Arial" w:hAnsi="Arial" w:cs="Arial"/>
          <w:b w:val="0"/>
          <w:caps w:val="0"/>
          <w:sz w:val="20"/>
          <w:szCs w:val="20"/>
        </w:rPr>
      </w:pPr>
      <w:bookmarkStart w:id="30" w:name="_Toc55171177"/>
      <w:r w:rsidRPr="0052393F">
        <w:rPr>
          <w:rFonts w:ascii="Arial" w:hAnsi="Arial" w:cs="Arial"/>
          <w:b w:val="0"/>
          <w:caps w:val="0"/>
          <w:sz w:val="20"/>
          <w:szCs w:val="20"/>
        </w:rPr>
        <w:t>Chaque soumissionnaire doit dûment remplir et retourner la fiche de réponse financière figurant en annexe.</w:t>
      </w:r>
      <w:bookmarkEnd w:id="30"/>
      <w:r w:rsidRPr="0052393F">
        <w:rPr>
          <w:rFonts w:ascii="Arial" w:hAnsi="Arial" w:cs="Arial"/>
          <w:b w:val="0"/>
          <w:caps w:val="0"/>
          <w:sz w:val="20"/>
          <w:szCs w:val="20"/>
        </w:rPr>
        <w:t xml:space="preserve"> </w:t>
      </w:r>
    </w:p>
    <w:p w14:paraId="3689DB4C" w14:textId="47D2C9F8" w:rsidR="004B2A27" w:rsidRPr="0052393F" w:rsidRDefault="004B2A27" w:rsidP="00645F1D">
      <w:pPr>
        <w:pStyle w:val="Titre1Helvetica11ptGras"/>
        <w:jc w:val="both"/>
        <w:rPr>
          <w:rFonts w:ascii="Arial" w:hAnsi="Arial" w:cs="Arial"/>
          <w:b w:val="0"/>
          <w:caps w:val="0"/>
          <w:sz w:val="20"/>
          <w:szCs w:val="20"/>
        </w:rPr>
      </w:pPr>
      <w:bookmarkStart w:id="31" w:name="_Toc55171178"/>
      <w:r w:rsidRPr="0052393F">
        <w:rPr>
          <w:rFonts w:ascii="Arial" w:hAnsi="Arial" w:cs="Arial"/>
          <w:b w:val="0"/>
          <w:caps w:val="0"/>
          <w:sz w:val="20"/>
          <w:szCs w:val="20"/>
        </w:rPr>
        <w:t>Les prix sont exprimés en euro. La fiche de réponse financière est un fichier électronique joint aux documents de la présente consul</w:t>
      </w:r>
      <w:r w:rsidR="00313C93" w:rsidRPr="0052393F">
        <w:rPr>
          <w:rFonts w:ascii="Arial" w:hAnsi="Arial" w:cs="Arial"/>
          <w:b w:val="0"/>
          <w:caps w:val="0"/>
          <w:sz w:val="20"/>
          <w:szCs w:val="20"/>
        </w:rPr>
        <w:t xml:space="preserve">tation formalisée : (Annexe </w:t>
      </w:r>
      <w:r w:rsidR="008B532D" w:rsidRPr="0052393F">
        <w:rPr>
          <w:rFonts w:ascii="Arial" w:hAnsi="Arial" w:cs="Arial"/>
          <w:b w:val="0"/>
          <w:caps w:val="0"/>
          <w:sz w:val="20"/>
          <w:szCs w:val="20"/>
        </w:rPr>
        <w:t xml:space="preserve">: </w:t>
      </w:r>
      <w:r w:rsidRPr="0052393F">
        <w:rPr>
          <w:rFonts w:ascii="Arial" w:hAnsi="Arial" w:cs="Arial"/>
          <w:b w:val="0"/>
          <w:caps w:val="0"/>
          <w:sz w:val="20"/>
          <w:szCs w:val="20"/>
        </w:rPr>
        <w:t>Fiche de réponse financière).</w:t>
      </w:r>
      <w:bookmarkEnd w:id="31"/>
    </w:p>
    <w:p w14:paraId="61AEC15B" w14:textId="77777777" w:rsidR="004B2A27" w:rsidRPr="0052393F" w:rsidRDefault="004B2A27" w:rsidP="004B2A27">
      <w:pPr>
        <w:pStyle w:val="Titre1Helvetica11ptGras"/>
        <w:numPr>
          <w:ilvl w:val="0"/>
          <w:numId w:val="1"/>
        </w:numPr>
        <w:rPr>
          <w:rFonts w:ascii="Arial" w:hAnsi="Arial" w:cs="Arial"/>
          <w:caps w:val="0"/>
          <w:sz w:val="24"/>
          <w:szCs w:val="32"/>
        </w:rPr>
      </w:pPr>
      <w:bookmarkStart w:id="32" w:name="_Toc349404236"/>
      <w:bookmarkStart w:id="33" w:name="_Toc55171179"/>
      <w:r w:rsidRPr="0052393F">
        <w:rPr>
          <w:rFonts w:ascii="Arial" w:hAnsi="Arial" w:cs="Arial"/>
          <w:caps w:val="0"/>
          <w:sz w:val="24"/>
          <w:szCs w:val="32"/>
        </w:rPr>
        <w:t xml:space="preserve">Critères </w:t>
      </w:r>
      <w:r w:rsidR="00BC1F6E" w:rsidRPr="0052393F">
        <w:rPr>
          <w:rFonts w:ascii="Arial" w:hAnsi="Arial" w:cs="Arial"/>
          <w:caps w:val="0"/>
          <w:sz w:val="24"/>
          <w:szCs w:val="32"/>
        </w:rPr>
        <w:t xml:space="preserve">et méthodologie </w:t>
      </w:r>
      <w:r w:rsidRPr="0052393F">
        <w:rPr>
          <w:rFonts w:ascii="Arial" w:hAnsi="Arial" w:cs="Arial"/>
          <w:caps w:val="0"/>
          <w:sz w:val="24"/>
          <w:szCs w:val="32"/>
        </w:rPr>
        <w:t>de sélection des offres</w:t>
      </w:r>
      <w:bookmarkEnd w:id="32"/>
      <w:bookmarkEnd w:id="33"/>
    </w:p>
    <w:p w14:paraId="1D1BC25A" w14:textId="77777777" w:rsidR="004B2A27" w:rsidRPr="0052393F" w:rsidRDefault="004B2A27" w:rsidP="004B2A27">
      <w:pPr>
        <w:autoSpaceDE w:val="0"/>
        <w:autoSpaceDN w:val="0"/>
        <w:adjustRightInd w:val="0"/>
        <w:spacing w:after="60" w:line="360" w:lineRule="auto"/>
        <w:jc w:val="both"/>
        <w:rPr>
          <w:rFonts w:ascii="Arial" w:hAnsi="Arial" w:cs="Arial"/>
          <w:bCs/>
          <w:sz w:val="20"/>
          <w:szCs w:val="20"/>
        </w:rPr>
      </w:pPr>
      <w:r w:rsidRPr="0052393F">
        <w:rPr>
          <w:rFonts w:ascii="Arial" w:hAnsi="Arial" w:cs="Arial"/>
          <w:bCs/>
          <w:sz w:val="20"/>
          <w:szCs w:val="20"/>
        </w:rPr>
        <w:t>Les critères suivants s’appliqueront pour la sélection des candidats :</w:t>
      </w:r>
    </w:p>
    <w:p w14:paraId="4CFBB3D6" w14:textId="22770F86" w:rsidR="004B2A27" w:rsidRPr="0052393F" w:rsidRDefault="004B2A27" w:rsidP="00645F1D">
      <w:pPr>
        <w:numPr>
          <w:ilvl w:val="0"/>
          <w:numId w:val="4"/>
        </w:numPr>
        <w:ind w:left="357" w:hanging="357"/>
        <w:rPr>
          <w:rFonts w:ascii="Arial" w:hAnsi="Arial" w:cs="Arial"/>
          <w:sz w:val="20"/>
          <w:szCs w:val="20"/>
        </w:rPr>
      </w:pPr>
      <w:r w:rsidRPr="0052393F">
        <w:rPr>
          <w:rFonts w:ascii="Arial" w:hAnsi="Arial" w:cs="Arial"/>
          <w:sz w:val="20"/>
          <w:szCs w:val="20"/>
        </w:rPr>
        <w:t>Les références et l’expérience du soumissionnaire </w:t>
      </w:r>
      <w:r w:rsidR="009E33CC">
        <w:rPr>
          <w:rFonts w:ascii="Arial" w:hAnsi="Arial" w:cs="Arial"/>
          <w:sz w:val="20"/>
          <w:szCs w:val="20"/>
        </w:rPr>
        <w:t xml:space="preserve">en Asie-Pacifique </w:t>
      </w:r>
      <w:r w:rsidRPr="0052393F">
        <w:rPr>
          <w:rFonts w:ascii="Arial" w:hAnsi="Arial" w:cs="Arial"/>
          <w:sz w:val="20"/>
          <w:szCs w:val="20"/>
        </w:rPr>
        <w:t>;</w:t>
      </w:r>
    </w:p>
    <w:p w14:paraId="6F2EFAF8" w14:textId="77777777" w:rsidR="004B2A27" w:rsidRPr="0052393F" w:rsidRDefault="004B2A27" w:rsidP="00645F1D">
      <w:pPr>
        <w:numPr>
          <w:ilvl w:val="0"/>
          <w:numId w:val="4"/>
        </w:numPr>
        <w:ind w:left="357" w:hanging="357"/>
        <w:rPr>
          <w:rFonts w:ascii="Arial" w:hAnsi="Arial" w:cs="Arial"/>
          <w:sz w:val="20"/>
          <w:szCs w:val="20"/>
        </w:rPr>
      </w:pPr>
      <w:r w:rsidRPr="0052393F">
        <w:rPr>
          <w:rFonts w:ascii="Arial" w:hAnsi="Arial" w:cs="Arial"/>
          <w:sz w:val="20"/>
          <w:szCs w:val="20"/>
        </w:rPr>
        <w:t>La conformité à l’expression des besoins et des spécifications techniques du cahier des charges ;</w:t>
      </w:r>
    </w:p>
    <w:p w14:paraId="785F0150" w14:textId="77777777" w:rsidR="004B2A27" w:rsidRPr="0052393F" w:rsidRDefault="004B2A27" w:rsidP="00645F1D">
      <w:pPr>
        <w:numPr>
          <w:ilvl w:val="0"/>
          <w:numId w:val="4"/>
        </w:numPr>
        <w:ind w:left="357" w:hanging="357"/>
        <w:rPr>
          <w:rFonts w:ascii="Arial" w:hAnsi="Arial" w:cs="Arial"/>
          <w:sz w:val="20"/>
          <w:szCs w:val="20"/>
        </w:rPr>
      </w:pPr>
      <w:r w:rsidRPr="0052393F">
        <w:rPr>
          <w:rFonts w:ascii="Arial" w:hAnsi="Arial" w:cs="Arial"/>
          <w:sz w:val="20"/>
          <w:szCs w:val="20"/>
        </w:rPr>
        <w:t>La qualité de la démarche projet pour l’ensemble de la prestation ;</w:t>
      </w:r>
    </w:p>
    <w:p w14:paraId="6FC258C3" w14:textId="77777777" w:rsidR="004B2A27" w:rsidRPr="0052393F" w:rsidRDefault="004B2A27" w:rsidP="0070673B">
      <w:pPr>
        <w:numPr>
          <w:ilvl w:val="0"/>
          <w:numId w:val="4"/>
        </w:numPr>
        <w:autoSpaceDE w:val="0"/>
        <w:autoSpaceDN w:val="0"/>
        <w:adjustRightInd w:val="0"/>
        <w:ind w:left="357" w:hanging="357"/>
        <w:jc w:val="both"/>
        <w:rPr>
          <w:rFonts w:ascii="Arial" w:hAnsi="Arial" w:cs="Arial"/>
          <w:bCs/>
          <w:sz w:val="20"/>
          <w:szCs w:val="20"/>
        </w:rPr>
      </w:pPr>
      <w:r w:rsidRPr="0052393F">
        <w:rPr>
          <w:rFonts w:ascii="Arial" w:hAnsi="Arial" w:cs="Arial"/>
          <w:sz w:val="20"/>
          <w:szCs w:val="20"/>
        </w:rPr>
        <w:t>La qualité de l’équipe projet ;</w:t>
      </w:r>
    </w:p>
    <w:p w14:paraId="0DD4370A" w14:textId="77777777" w:rsidR="004B2A27" w:rsidRPr="0052393F" w:rsidRDefault="004B2A27" w:rsidP="00645F1D">
      <w:pPr>
        <w:numPr>
          <w:ilvl w:val="0"/>
          <w:numId w:val="4"/>
        </w:numPr>
        <w:ind w:left="357" w:hanging="357"/>
        <w:rPr>
          <w:rFonts w:ascii="Arial" w:hAnsi="Arial" w:cs="Arial"/>
          <w:sz w:val="20"/>
          <w:szCs w:val="20"/>
        </w:rPr>
      </w:pPr>
      <w:r w:rsidRPr="0052393F">
        <w:rPr>
          <w:rFonts w:ascii="Arial" w:hAnsi="Arial" w:cs="Arial"/>
          <w:sz w:val="20"/>
          <w:szCs w:val="20"/>
        </w:rPr>
        <w:t>Le montant de l’offre.</w:t>
      </w:r>
    </w:p>
    <w:p w14:paraId="21503A66" w14:textId="77777777" w:rsidR="00516C63" w:rsidRPr="0052393F" w:rsidRDefault="00516C63" w:rsidP="00516C63">
      <w:pPr>
        <w:pStyle w:val="Titre1Helvetica11ptGras"/>
        <w:spacing w:after="0"/>
        <w:jc w:val="both"/>
        <w:rPr>
          <w:rFonts w:ascii="Arial" w:hAnsi="Arial" w:cs="Arial"/>
          <w:b w:val="0"/>
          <w:caps w:val="0"/>
          <w:sz w:val="20"/>
          <w:szCs w:val="20"/>
        </w:rPr>
      </w:pPr>
      <w:bookmarkStart w:id="34" w:name="_Toc413156338"/>
      <w:bookmarkStart w:id="35" w:name="_Toc46946499"/>
      <w:bookmarkStart w:id="36" w:name="_Toc47012017"/>
      <w:bookmarkStart w:id="37" w:name="_Toc48657182"/>
      <w:bookmarkStart w:id="38" w:name="_Toc55171180"/>
      <w:bookmarkEnd w:id="34"/>
    </w:p>
    <w:p w14:paraId="1DDD24A3" w14:textId="0D13B394" w:rsidR="00BC1F6E" w:rsidRPr="0052393F" w:rsidRDefault="00BC1F6E" w:rsidP="00645F1D">
      <w:pPr>
        <w:pStyle w:val="Titre1Helvetica11ptGras"/>
        <w:jc w:val="both"/>
        <w:rPr>
          <w:rFonts w:ascii="Arial" w:hAnsi="Arial" w:cs="Arial"/>
          <w:b w:val="0"/>
          <w:caps w:val="0"/>
          <w:sz w:val="20"/>
          <w:szCs w:val="20"/>
        </w:rPr>
      </w:pPr>
      <w:r w:rsidRPr="0052393F">
        <w:rPr>
          <w:rFonts w:ascii="Arial" w:hAnsi="Arial" w:cs="Arial"/>
          <w:b w:val="0"/>
          <w:caps w:val="0"/>
          <w:sz w:val="20"/>
          <w:szCs w:val="20"/>
        </w:rPr>
        <w:t xml:space="preserve">La sélection se fera sur la base d’une notation sur 100 points dont </w:t>
      </w:r>
      <w:r w:rsidR="00762DE4">
        <w:rPr>
          <w:rFonts w:ascii="Arial" w:hAnsi="Arial" w:cs="Arial"/>
          <w:b w:val="0"/>
          <w:caps w:val="0"/>
          <w:sz w:val="20"/>
          <w:szCs w:val="20"/>
        </w:rPr>
        <w:t>4</w:t>
      </w:r>
      <w:r w:rsidR="0070673B" w:rsidRPr="0052393F">
        <w:rPr>
          <w:rFonts w:ascii="Arial" w:hAnsi="Arial" w:cs="Arial"/>
          <w:b w:val="0"/>
          <w:caps w:val="0"/>
          <w:sz w:val="20"/>
          <w:szCs w:val="20"/>
        </w:rPr>
        <w:t>0</w:t>
      </w:r>
      <w:r w:rsidR="00AB7D3F" w:rsidRPr="0052393F">
        <w:rPr>
          <w:rFonts w:ascii="Arial" w:hAnsi="Arial" w:cs="Arial"/>
          <w:b w:val="0"/>
          <w:caps w:val="0"/>
          <w:sz w:val="20"/>
          <w:szCs w:val="20"/>
        </w:rPr>
        <w:t xml:space="preserve"> pour la note technique et </w:t>
      </w:r>
      <w:r w:rsidR="00762DE4">
        <w:rPr>
          <w:rFonts w:ascii="Arial" w:hAnsi="Arial" w:cs="Arial"/>
          <w:b w:val="0"/>
          <w:caps w:val="0"/>
          <w:sz w:val="20"/>
          <w:szCs w:val="20"/>
        </w:rPr>
        <w:t>6</w:t>
      </w:r>
      <w:r w:rsidR="0070673B" w:rsidRPr="0052393F">
        <w:rPr>
          <w:rFonts w:ascii="Arial" w:hAnsi="Arial" w:cs="Arial"/>
          <w:b w:val="0"/>
          <w:caps w:val="0"/>
          <w:sz w:val="20"/>
          <w:szCs w:val="20"/>
        </w:rPr>
        <w:t>0</w:t>
      </w:r>
      <w:r w:rsidR="000D5755" w:rsidRPr="0052393F">
        <w:rPr>
          <w:rFonts w:ascii="Arial" w:hAnsi="Arial" w:cs="Arial"/>
          <w:b w:val="0"/>
          <w:caps w:val="0"/>
          <w:sz w:val="20"/>
          <w:szCs w:val="20"/>
        </w:rPr>
        <w:t xml:space="preserve"> </w:t>
      </w:r>
      <w:r w:rsidRPr="0052393F">
        <w:rPr>
          <w:rFonts w:ascii="Arial" w:hAnsi="Arial" w:cs="Arial"/>
          <w:b w:val="0"/>
          <w:caps w:val="0"/>
          <w:sz w:val="20"/>
          <w:szCs w:val="20"/>
        </w:rPr>
        <w:t>pour la note financière.</w:t>
      </w:r>
      <w:bookmarkEnd w:id="35"/>
      <w:bookmarkEnd w:id="36"/>
      <w:bookmarkEnd w:id="37"/>
      <w:bookmarkEnd w:id="38"/>
    </w:p>
    <w:p w14:paraId="47D342ED" w14:textId="77777777" w:rsidR="00BC1F6E" w:rsidRPr="0052393F" w:rsidRDefault="00BC1F6E" w:rsidP="00645F1D">
      <w:pPr>
        <w:pStyle w:val="Titre1Helvetica11ptGras"/>
        <w:jc w:val="both"/>
        <w:rPr>
          <w:rFonts w:ascii="Arial" w:hAnsi="Arial" w:cs="Arial"/>
          <w:b w:val="0"/>
          <w:caps w:val="0"/>
          <w:sz w:val="20"/>
          <w:szCs w:val="20"/>
        </w:rPr>
      </w:pPr>
      <w:bookmarkStart w:id="39" w:name="_Toc46946500"/>
      <w:bookmarkStart w:id="40" w:name="_Toc47012018"/>
      <w:bookmarkStart w:id="41" w:name="_Toc48657183"/>
      <w:bookmarkStart w:id="42" w:name="_Toc55171181"/>
      <w:r w:rsidRPr="0052393F">
        <w:rPr>
          <w:rFonts w:ascii="Arial" w:hAnsi="Arial" w:cs="Arial"/>
          <w:b w:val="0"/>
          <w:caps w:val="0"/>
          <w:sz w:val="20"/>
          <w:szCs w:val="20"/>
        </w:rPr>
        <w:t>La note financière sera calculée suivant la formule :</w:t>
      </w:r>
      <w:bookmarkEnd w:id="39"/>
      <w:bookmarkEnd w:id="40"/>
      <w:bookmarkEnd w:id="41"/>
      <w:bookmarkEnd w:id="42"/>
    </w:p>
    <w:p w14:paraId="0EBB6367" w14:textId="77777777" w:rsidR="00BC1F6E" w:rsidRPr="0052393F" w:rsidRDefault="00BC1F6E" w:rsidP="004B2A27">
      <w:pPr>
        <w:pStyle w:val="Titre2Helvetica11pt"/>
        <w:spacing w:after="120" w:line="360" w:lineRule="auto"/>
        <w:rPr>
          <w:rFonts w:ascii="Arial" w:hAnsi="Arial" w:cs="Arial"/>
          <w:b w:val="0"/>
          <w:smallCaps w:val="0"/>
          <w:sz w:val="12"/>
          <w:szCs w:val="12"/>
        </w:rPr>
      </w:pPr>
    </w:p>
    <w:p w14:paraId="45E13013" w14:textId="1494C949" w:rsidR="00BC1F6E" w:rsidRPr="0052393F" w:rsidRDefault="00BC1F6E" w:rsidP="00BC1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2393F">
        <w:rPr>
          <w:rFonts w:ascii="Arial" w:hAnsi="Arial" w:cs="Arial"/>
          <w:bCs/>
          <w:sz w:val="20"/>
          <w:szCs w:val="20"/>
        </w:rPr>
        <w:t xml:space="preserve">                                                        </w:t>
      </w:r>
      <w:r w:rsidR="0070673B" w:rsidRPr="0052393F">
        <w:rPr>
          <w:rFonts w:ascii="Arial" w:hAnsi="Arial" w:cs="Arial"/>
          <w:bCs/>
          <w:sz w:val="20"/>
          <w:szCs w:val="20"/>
        </w:rPr>
        <w:t xml:space="preserve">     </w:t>
      </w:r>
      <w:r w:rsidRPr="0052393F">
        <w:rPr>
          <w:rFonts w:ascii="Arial" w:hAnsi="Arial" w:cs="Arial"/>
          <w:bCs/>
          <w:sz w:val="20"/>
          <w:szCs w:val="20"/>
        </w:rPr>
        <w:t xml:space="preserve">Montant de l’offre la moins disante </w:t>
      </w:r>
      <w:r w:rsidRPr="0052393F">
        <w:rPr>
          <w:rFonts w:ascii="Arial" w:hAnsi="Arial" w:cs="Arial"/>
          <w:sz w:val="20"/>
          <w:szCs w:val="20"/>
        </w:rPr>
        <w:t xml:space="preserve"> </w:t>
      </w:r>
    </w:p>
    <w:p w14:paraId="6AFE1195" w14:textId="01789C2E" w:rsidR="00BC1F6E" w:rsidRPr="0052393F" w:rsidRDefault="00BC1F6E" w:rsidP="00BC1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2393F">
        <w:rPr>
          <w:rFonts w:ascii="Arial" w:hAnsi="Arial" w:cs="Arial"/>
          <w:bCs/>
          <w:sz w:val="20"/>
          <w:szCs w:val="20"/>
        </w:rPr>
        <w:t xml:space="preserve">        Note Fi</w:t>
      </w:r>
      <w:r w:rsidR="000D5755" w:rsidRPr="0052393F">
        <w:rPr>
          <w:rFonts w:ascii="Arial" w:hAnsi="Arial" w:cs="Arial"/>
          <w:bCs/>
          <w:sz w:val="20"/>
          <w:szCs w:val="20"/>
        </w:rPr>
        <w:t xml:space="preserve">nancière (NF) = </w:t>
      </w:r>
      <w:proofErr w:type="gramStart"/>
      <w:r w:rsidR="00762DE4">
        <w:rPr>
          <w:rFonts w:ascii="Arial" w:hAnsi="Arial" w:cs="Arial"/>
          <w:bCs/>
          <w:sz w:val="20"/>
          <w:szCs w:val="20"/>
        </w:rPr>
        <w:t>6</w:t>
      </w:r>
      <w:r w:rsidR="0070673B" w:rsidRPr="0052393F">
        <w:rPr>
          <w:rFonts w:ascii="Arial" w:hAnsi="Arial" w:cs="Arial"/>
          <w:bCs/>
          <w:sz w:val="20"/>
          <w:szCs w:val="20"/>
        </w:rPr>
        <w:t xml:space="preserve">0 </w:t>
      </w:r>
      <w:r w:rsidRPr="0052393F">
        <w:rPr>
          <w:rFonts w:ascii="Arial" w:hAnsi="Arial" w:cs="Arial"/>
          <w:bCs/>
          <w:sz w:val="20"/>
          <w:szCs w:val="20"/>
        </w:rPr>
        <w:t xml:space="preserve"> X</w:t>
      </w:r>
      <w:proofErr w:type="gramEnd"/>
      <w:r w:rsidRPr="0052393F">
        <w:rPr>
          <w:rFonts w:ascii="Arial" w:hAnsi="Arial" w:cs="Arial"/>
          <w:bCs/>
          <w:sz w:val="20"/>
          <w:szCs w:val="20"/>
        </w:rPr>
        <w:t xml:space="preserve">    -------------------------------------------------- </w:t>
      </w:r>
    </w:p>
    <w:p w14:paraId="2FF56250" w14:textId="5F4B395F" w:rsidR="00BC1F6E" w:rsidRPr="0052393F" w:rsidRDefault="00BC1F6E" w:rsidP="00BC1F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2393F">
        <w:rPr>
          <w:rFonts w:ascii="Arial" w:hAnsi="Arial" w:cs="Arial"/>
          <w:sz w:val="20"/>
          <w:szCs w:val="20"/>
        </w:rPr>
        <w:t xml:space="preserve">                                                                </w:t>
      </w:r>
      <w:r w:rsidR="0070673B" w:rsidRPr="0052393F">
        <w:rPr>
          <w:rFonts w:ascii="Arial" w:hAnsi="Arial" w:cs="Arial"/>
          <w:sz w:val="20"/>
          <w:szCs w:val="20"/>
        </w:rPr>
        <w:t xml:space="preserve">    </w:t>
      </w:r>
      <w:r w:rsidRPr="0052393F">
        <w:rPr>
          <w:rFonts w:ascii="Arial" w:hAnsi="Arial" w:cs="Arial"/>
          <w:bCs/>
          <w:sz w:val="20"/>
          <w:szCs w:val="20"/>
        </w:rPr>
        <w:t>Montant de l’offre proposée</w:t>
      </w:r>
      <w:r w:rsidRPr="0052393F">
        <w:rPr>
          <w:rFonts w:ascii="Arial" w:hAnsi="Arial" w:cs="Arial"/>
          <w:sz w:val="20"/>
          <w:szCs w:val="20"/>
        </w:rPr>
        <w:t xml:space="preserve"> </w:t>
      </w:r>
    </w:p>
    <w:p w14:paraId="0FA17AC0" w14:textId="77777777" w:rsidR="00EB6B7E" w:rsidRPr="0052393F" w:rsidRDefault="00EB6B7E" w:rsidP="00645F1D">
      <w:pPr>
        <w:pStyle w:val="Titre1Helvetica11ptGras"/>
        <w:jc w:val="both"/>
        <w:rPr>
          <w:rFonts w:ascii="Arial" w:hAnsi="Arial" w:cs="Arial"/>
          <w:b w:val="0"/>
          <w:caps w:val="0"/>
          <w:sz w:val="20"/>
          <w:szCs w:val="20"/>
        </w:rPr>
      </w:pPr>
      <w:bookmarkStart w:id="43" w:name="_Toc55171182"/>
      <w:r w:rsidRPr="0052393F">
        <w:rPr>
          <w:rFonts w:ascii="Arial" w:hAnsi="Arial" w:cs="Arial"/>
          <w:b w:val="0"/>
          <w:caps w:val="0"/>
          <w:sz w:val="20"/>
          <w:szCs w:val="20"/>
        </w:rPr>
        <w:lastRenderedPageBreak/>
        <w:t>L’OIF pourra organiser des auditions suite à l’analyse du dossier de candidatures.</w:t>
      </w:r>
    </w:p>
    <w:p w14:paraId="271C1D88" w14:textId="63E4E559" w:rsidR="008B532D" w:rsidRPr="0052393F" w:rsidRDefault="00BC1F6E" w:rsidP="00645F1D">
      <w:pPr>
        <w:pStyle w:val="Titre1Helvetica11ptGras"/>
        <w:jc w:val="both"/>
        <w:rPr>
          <w:rFonts w:ascii="Arial" w:hAnsi="Arial" w:cs="Arial"/>
          <w:b w:val="0"/>
          <w:caps w:val="0"/>
          <w:sz w:val="20"/>
          <w:szCs w:val="20"/>
        </w:rPr>
      </w:pPr>
      <w:r w:rsidRPr="0052393F">
        <w:rPr>
          <w:rFonts w:ascii="Arial" w:hAnsi="Arial" w:cs="Arial"/>
          <w:b w:val="0"/>
          <w:caps w:val="0"/>
          <w:sz w:val="20"/>
          <w:szCs w:val="20"/>
        </w:rPr>
        <w:t>La note finale est la somme des notes des deux phases. Sera retenu le soumissionnaire</w:t>
      </w:r>
      <w:r w:rsidR="0062555F" w:rsidRPr="0052393F">
        <w:rPr>
          <w:rFonts w:ascii="Arial" w:hAnsi="Arial" w:cs="Arial"/>
          <w:b w:val="0"/>
          <w:caps w:val="0"/>
          <w:sz w:val="20"/>
          <w:szCs w:val="20"/>
        </w:rPr>
        <w:t xml:space="preserve"> ayant obtenu la meilleure note, c’est-à-dire celui qui aura </w:t>
      </w:r>
      <w:r w:rsidR="004B2A27" w:rsidRPr="0052393F">
        <w:rPr>
          <w:rFonts w:ascii="Arial" w:hAnsi="Arial" w:cs="Arial"/>
          <w:b w:val="0"/>
          <w:caps w:val="0"/>
          <w:sz w:val="20"/>
          <w:szCs w:val="20"/>
        </w:rPr>
        <w:t>proposé la meilleure offre du point de vue de la qualité des modalités de mise en œuvre des prestations demandées et du point de vue du coût de ces prestations.</w:t>
      </w:r>
      <w:bookmarkEnd w:id="43"/>
    </w:p>
    <w:p w14:paraId="7CA5C0CC" w14:textId="77777777" w:rsidR="004B2A27" w:rsidRPr="0052393F" w:rsidRDefault="004B2A27" w:rsidP="004B2A27">
      <w:pPr>
        <w:pStyle w:val="Titre1Helvetica11ptGras"/>
        <w:numPr>
          <w:ilvl w:val="0"/>
          <w:numId w:val="1"/>
        </w:numPr>
        <w:rPr>
          <w:rFonts w:ascii="Arial" w:hAnsi="Arial" w:cs="Arial"/>
          <w:caps w:val="0"/>
          <w:sz w:val="24"/>
          <w:szCs w:val="32"/>
        </w:rPr>
      </w:pPr>
      <w:bookmarkStart w:id="44" w:name="_Toc349404239"/>
      <w:bookmarkStart w:id="45" w:name="_Toc55171183"/>
      <w:r w:rsidRPr="0052393F">
        <w:rPr>
          <w:rFonts w:ascii="Arial" w:hAnsi="Arial" w:cs="Arial"/>
          <w:caps w:val="0"/>
          <w:sz w:val="24"/>
          <w:szCs w:val="32"/>
        </w:rPr>
        <w:t>Les modalités de paiement</w:t>
      </w:r>
      <w:bookmarkEnd w:id="44"/>
      <w:bookmarkEnd w:id="45"/>
    </w:p>
    <w:p w14:paraId="63C392DC" w14:textId="430A508D" w:rsidR="0070673B" w:rsidRPr="0052393F" w:rsidRDefault="0070673B" w:rsidP="004B2A27">
      <w:pPr>
        <w:autoSpaceDE w:val="0"/>
        <w:autoSpaceDN w:val="0"/>
        <w:adjustRightInd w:val="0"/>
        <w:spacing w:line="360" w:lineRule="auto"/>
        <w:jc w:val="both"/>
        <w:rPr>
          <w:rFonts w:ascii="Arial" w:hAnsi="Arial" w:cs="Arial"/>
          <w:sz w:val="20"/>
          <w:szCs w:val="20"/>
        </w:rPr>
      </w:pPr>
      <w:r w:rsidRPr="0052393F">
        <w:rPr>
          <w:rFonts w:ascii="Arial" w:hAnsi="Arial" w:cs="Arial"/>
          <w:sz w:val="20"/>
          <w:szCs w:val="20"/>
          <w:u w:val="single"/>
        </w:rPr>
        <w:t xml:space="preserve">Pour les frais </w:t>
      </w:r>
      <w:r w:rsidR="0052393F" w:rsidRPr="0052393F">
        <w:rPr>
          <w:rFonts w:ascii="Arial" w:hAnsi="Arial" w:cs="Arial"/>
          <w:sz w:val="20"/>
          <w:szCs w:val="20"/>
          <w:u w:val="single"/>
        </w:rPr>
        <w:t>d’</w:t>
      </w:r>
      <w:r w:rsidRPr="0052393F">
        <w:rPr>
          <w:rFonts w:ascii="Arial" w:hAnsi="Arial" w:cs="Arial"/>
          <w:sz w:val="20"/>
          <w:szCs w:val="20"/>
          <w:u w:val="single"/>
        </w:rPr>
        <w:t xml:space="preserve">hébergement, </w:t>
      </w:r>
      <w:r w:rsidR="0052393F" w:rsidRPr="0052393F">
        <w:rPr>
          <w:rFonts w:ascii="Arial" w:hAnsi="Arial" w:cs="Arial"/>
          <w:sz w:val="20"/>
          <w:szCs w:val="20"/>
          <w:u w:val="single"/>
        </w:rPr>
        <w:t xml:space="preserve">de </w:t>
      </w:r>
      <w:r w:rsidRPr="0052393F">
        <w:rPr>
          <w:rFonts w:ascii="Arial" w:hAnsi="Arial" w:cs="Arial"/>
          <w:sz w:val="20"/>
          <w:szCs w:val="20"/>
          <w:u w:val="single"/>
        </w:rPr>
        <w:t>restauration,</w:t>
      </w:r>
      <w:r w:rsidR="0052393F" w:rsidRPr="0052393F">
        <w:rPr>
          <w:rFonts w:ascii="Arial" w:hAnsi="Arial" w:cs="Arial"/>
          <w:sz w:val="20"/>
          <w:szCs w:val="20"/>
          <w:u w:val="single"/>
        </w:rPr>
        <w:t xml:space="preserve"> de</w:t>
      </w:r>
      <w:r w:rsidRPr="0052393F">
        <w:rPr>
          <w:rFonts w:ascii="Arial" w:hAnsi="Arial" w:cs="Arial"/>
          <w:sz w:val="20"/>
          <w:szCs w:val="20"/>
          <w:u w:val="single"/>
        </w:rPr>
        <w:t xml:space="preserve"> location des locaux et des équipements</w:t>
      </w:r>
      <w:r w:rsidRPr="0052393F">
        <w:rPr>
          <w:rFonts w:ascii="Arial" w:hAnsi="Arial" w:cs="Arial"/>
          <w:sz w:val="20"/>
          <w:szCs w:val="20"/>
        </w:rPr>
        <w:t>, l</w:t>
      </w:r>
      <w:r w:rsidR="004B2A27" w:rsidRPr="0052393F">
        <w:rPr>
          <w:rFonts w:ascii="Arial" w:hAnsi="Arial" w:cs="Arial"/>
          <w:sz w:val="20"/>
          <w:szCs w:val="20"/>
        </w:rPr>
        <w:t>a répartition des paiements s’effectuera comme suit</w:t>
      </w:r>
      <w:r w:rsidRPr="0052393F">
        <w:rPr>
          <w:rFonts w:ascii="Arial" w:hAnsi="Arial" w:cs="Arial"/>
          <w:sz w:val="20"/>
          <w:szCs w:val="20"/>
        </w:rPr>
        <w:t xml:space="preserve"> </w:t>
      </w:r>
      <w:r w:rsidR="004B2A27" w:rsidRPr="0052393F">
        <w:rPr>
          <w:rFonts w:ascii="Arial" w:hAnsi="Arial" w:cs="Arial"/>
          <w:sz w:val="20"/>
          <w:szCs w:val="20"/>
        </w:rPr>
        <w:t>:</w:t>
      </w:r>
      <w:r w:rsidRPr="0052393F">
        <w:rPr>
          <w:rFonts w:ascii="Arial" w:hAnsi="Arial" w:cs="Arial"/>
          <w:sz w:val="20"/>
          <w:szCs w:val="20"/>
        </w:rPr>
        <w:t xml:space="preserve"> </w:t>
      </w:r>
    </w:p>
    <w:p w14:paraId="2A4F3B10" w14:textId="2D7BA189" w:rsidR="0070673B" w:rsidRPr="0052393F" w:rsidRDefault="0070673B" w:rsidP="0070673B">
      <w:pPr>
        <w:pStyle w:val="Paragraphedeliste"/>
        <w:numPr>
          <w:ilvl w:val="0"/>
          <w:numId w:val="10"/>
        </w:numPr>
        <w:autoSpaceDE w:val="0"/>
        <w:autoSpaceDN w:val="0"/>
        <w:adjustRightInd w:val="0"/>
        <w:spacing w:line="360" w:lineRule="auto"/>
        <w:jc w:val="both"/>
        <w:rPr>
          <w:rFonts w:ascii="Arial" w:hAnsi="Arial" w:cs="Arial"/>
          <w:sz w:val="20"/>
          <w:szCs w:val="20"/>
        </w:rPr>
      </w:pPr>
      <w:r w:rsidRPr="0052393F">
        <w:rPr>
          <w:rFonts w:ascii="Arial" w:hAnsi="Arial" w:cs="Arial"/>
          <w:sz w:val="20"/>
          <w:szCs w:val="20"/>
        </w:rPr>
        <w:t>70 % du montant du devis sélectionné par le CREFAP</w:t>
      </w:r>
      <w:r w:rsidR="0052393F">
        <w:rPr>
          <w:rFonts w:ascii="Arial" w:hAnsi="Arial" w:cs="Arial"/>
          <w:sz w:val="20"/>
          <w:szCs w:val="20"/>
        </w:rPr>
        <w:t>, au plus tard 10 jours de travail avant la tenue de l’événement ;</w:t>
      </w:r>
    </w:p>
    <w:p w14:paraId="0D7420CF" w14:textId="556A5C3C" w:rsidR="0070673B" w:rsidRPr="0052393F" w:rsidRDefault="0070673B" w:rsidP="0070673B">
      <w:pPr>
        <w:pStyle w:val="Paragraphedeliste"/>
        <w:numPr>
          <w:ilvl w:val="0"/>
          <w:numId w:val="10"/>
        </w:numPr>
        <w:autoSpaceDE w:val="0"/>
        <w:autoSpaceDN w:val="0"/>
        <w:adjustRightInd w:val="0"/>
        <w:spacing w:line="360" w:lineRule="auto"/>
        <w:jc w:val="both"/>
        <w:rPr>
          <w:rFonts w:ascii="Arial" w:hAnsi="Arial" w:cs="Arial"/>
          <w:sz w:val="20"/>
          <w:szCs w:val="20"/>
        </w:rPr>
      </w:pPr>
      <w:r w:rsidRPr="0052393F">
        <w:rPr>
          <w:rFonts w:ascii="Arial" w:hAnsi="Arial" w:cs="Arial"/>
          <w:sz w:val="20"/>
          <w:szCs w:val="20"/>
        </w:rPr>
        <w:t xml:space="preserve">Le solde des dépenses réelles et les frais de </w:t>
      </w:r>
      <w:r w:rsidR="00A35720">
        <w:rPr>
          <w:rFonts w:ascii="Arial" w:hAnsi="Arial" w:cs="Arial"/>
          <w:sz w:val="20"/>
          <w:szCs w:val="20"/>
        </w:rPr>
        <w:t xml:space="preserve">gestion </w:t>
      </w:r>
      <w:r w:rsidR="0052393F" w:rsidRPr="0052393F">
        <w:rPr>
          <w:rFonts w:ascii="Arial" w:hAnsi="Arial" w:cs="Arial"/>
          <w:sz w:val="20"/>
          <w:szCs w:val="20"/>
        </w:rPr>
        <w:t xml:space="preserve">pour le prestataire, dans un délai de 7 jours de travail </w:t>
      </w:r>
      <w:proofErr w:type="gramStart"/>
      <w:r w:rsidR="0052393F" w:rsidRPr="0052393F">
        <w:rPr>
          <w:rFonts w:ascii="Arial" w:hAnsi="Arial" w:cs="Arial"/>
          <w:sz w:val="20"/>
          <w:szCs w:val="20"/>
        </w:rPr>
        <w:t>suite à</w:t>
      </w:r>
      <w:proofErr w:type="gramEnd"/>
      <w:r w:rsidR="0052393F" w:rsidRPr="0052393F">
        <w:rPr>
          <w:rFonts w:ascii="Arial" w:hAnsi="Arial" w:cs="Arial"/>
          <w:sz w:val="20"/>
          <w:szCs w:val="20"/>
        </w:rPr>
        <w:t xml:space="preserve"> la réception des factures et des justificatifs fournis par le prestataire</w:t>
      </w:r>
      <w:r w:rsidR="0052393F">
        <w:rPr>
          <w:rFonts w:ascii="Arial" w:hAnsi="Arial" w:cs="Arial"/>
          <w:sz w:val="20"/>
          <w:szCs w:val="20"/>
        </w:rPr>
        <w:t>.</w:t>
      </w:r>
    </w:p>
    <w:p w14:paraId="43255981" w14:textId="77777777" w:rsidR="0052393F" w:rsidRPr="0052393F" w:rsidRDefault="0052393F" w:rsidP="004B2A27">
      <w:pPr>
        <w:autoSpaceDE w:val="0"/>
        <w:autoSpaceDN w:val="0"/>
        <w:adjustRightInd w:val="0"/>
        <w:spacing w:line="360" w:lineRule="auto"/>
        <w:jc w:val="both"/>
        <w:rPr>
          <w:rFonts w:ascii="Arial" w:hAnsi="Arial" w:cs="Arial"/>
          <w:sz w:val="20"/>
          <w:szCs w:val="20"/>
        </w:rPr>
      </w:pPr>
    </w:p>
    <w:p w14:paraId="62F1DF94" w14:textId="6ECB4510" w:rsidR="00DC051D" w:rsidRPr="0052393F" w:rsidRDefault="0052393F" w:rsidP="0052393F">
      <w:pPr>
        <w:autoSpaceDE w:val="0"/>
        <w:autoSpaceDN w:val="0"/>
        <w:adjustRightInd w:val="0"/>
        <w:spacing w:line="360" w:lineRule="auto"/>
        <w:jc w:val="both"/>
        <w:rPr>
          <w:rFonts w:ascii="Arial" w:hAnsi="Arial" w:cs="Arial"/>
          <w:sz w:val="20"/>
          <w:szCs w:val="20"/>
        </w:rPr>
      </w:pPr>
      <w:r w:rsidRPr="0052393F">
        <w:rPr>
          <w:rFonts w:ascii="Arial" w:hAnsi="Arial" w:cs="Arial"/>
          <w:sz w:val="20"/>
          <w:szCs w:val="20"/>
          <w:u w:val="single"/>
        </w:rPr>
        <w:t>Pour les titres de transport et les frais de demande de visa</w:t>
      </w:r>
      <w:r w:rsidRPr="0052393F">
        <w:rPr>
          <w:rFonts w:ascii="Arial" w:hAnsi="Arial" w:cs="Arial"/>
          <w:sz w:val="20"/>
          <w:szCs w:val="20"/>
        </w:rPr>
        <w:t xml:space="preserve">, le paiement de la totalité des dépenses et des frais de </w:t>
      </w:r>
      <w:r w:rsidR="00A35720">
        <w:rPr>
          <w:rFonts w:ascii="Arial" w:hAnsi="Arial" w:cs="Arial"/>
          <w:sz w:val="20"/>
          <w:szCs w:val="20"/>
        </w:rPr>
        <w:t>gestion</w:t>
      </w:r>
      <w:r w:rsidRPr="0052393F">
        <w:rPr>
          <w:rFonts w:ascii="Arial" w:hAnsi="Arial" w:cs="Arial"/>
          <w:sz w:val="20"/>
          <w:szCs w:val="20"/>
        </w:rPr>
        <w:t xml:space="preserve"> sera effectué dans un délai de 7 jours de travail </w:t>
      </w:r>
      <w:proofErr w:type="gramStart"/>
      <w:r w:rsidRPr="0052393F">
        <w:rPr>
          <w:rFonts w:ascii="Arial" w:hAnsi="Arial" w:cs="Arial"/>
          <w:sz w:val="20"/>
          <w:szCs w:val="20"/>
        </w:rPr>
        <w:t>suite à</w:t>
      </w:r>
      <w:proofErr w:type="gramEnd"/>
      <w:r w:rsidRPr="0052393F">
        <w:rPr>
          <w:rFonts w:ascii="Arial" w:hAnsi="Arial" w:cs="Arial"/>
          <w:sz w:val="20"/>
          <w:szCs w:val="20"/>
        </w:rPr>
        <w:t xml:space="preserve"> la réception des factures et des justificatifs fournis par le prestataire.</w:t>
      </w:r>
    </w:p>
    <w:p w14:paraId="741B0C1A" w14:textId="77777777" w:rsidR="000D5755" w:rsidRPr="0052393F" w:rsidRDefault="000D5755" w:rsidP="00DC051D">
      <w:pPr>
        <w:autoSpaceDE w:val="0"/>
        <w:autoSpaceDN w:val="0"/>
        <w:adjustRightInd w:val="0"/>
        <w:spacing w:line="360" w:lineRule="auto"/>
        <w:ind w:left="720"/>
        <w:jc w:val="both"/>
        <w:rPr>
          <w:rFonts w:ascii="Arial" w:hAnsi="Arial" w:cs="Arial"/>
          <w:sz w:val="20"/>
          <w:szCs w:val="20"/>
        </w:rPr>
      </w:pPr>
    </w:p>
    <w:p w14:paraId="55A9FB67" w14:textId="018089C0" w:rsidR="00452698" w:rsidRPr="0052393F" w:rsidRDefault="00452698" w:rsidP="009346FE">
      <w:pPr>
        <w:pStyle w:val="Titre1Helvetica11ptGras"/>
        <w:numPr>
          <w:ilvl w:val="0"/>
          <w:numId w:val="1"/>
        </w:numPr>
        <w:rPr>
          <w:rFonts w:ascii="Arial" w:hAnsi="Arial" w:cs="Arial"/>
          <w:caps w:val="0"/>
          <w:sz w:val="24"/>
          <w:szCs w:val="32"/>
        </w:rPr>
      </w:pPr>
      <w:r w:rsidRPr="0052393F">
        <w:rPr>
          <w:rFonts w:ascii="Arial" w:hAnsi="Arial" w:cs="Arial"/>
          <w:caps w:val="0"/>
          <w:sz w:val="24"/>
          <w:szCs w:val="32"/>
        </w:rPr>
        <w:t>Droit applicable et règlement des différends</w:t>
      </w:r>
    </w:p>
    <w:p w14:paraId="751E751B" w14:textId="28B3B4A6" w:rsidR="00452698" w:rsidRPr="0052393F" w:rsidRDefault="00452698" w:rsidP="00452698">
      <w:pPr>
        <w:jc w:val="both"/>
        <w:rPr>
          <w:rFonts w:ascii="Arial" w:hAnsi="Arial" w:cs="Arial"/>
          <w:sz w:val="20"/>
          <w:szCs w:val="20"/>
        </w:rPr>
      </w:pPr>
      <w:r w:rsidRPr="0052393F">
        <w:rPr>
          <w:rFonts w:ascii="Arial" w:hAnsi="Arial" w:cs="Arial"/>
          <w:sz w:val="20"/>
          <w:szCs w:val="20"/>
        </w:rPr>
        <w:t xml:space="preserve">Tout différend, controverse ou réclamation découlant de ou se rapportant à l'interprétation, l'application ou l'exécution des présentes dispositions, qui n’aura pu être réglé de manière amiable par les parties dans les soixante (60) jours de sa notification par une partie à l’autre par tout moyen, sera réglé par un arbitrage définitif et obligatoire conformément au Règlement facultatif d'arbitrage de la Cour Permanente  d'Arbitrage entre les organisations internationales et les parties privées, en vigueur à la date </w:t>
      </w:r>
      <w:r w:rsidR="009346FE" w:rsidRPr="0052393F">
        <w:rPr>
          <w:rFonts w:ascii="Arial" w:hAnsi="Arial" w:cs="Arial"/>
          <w:sz w:val="20"/>
          <w:szCs w:val="20"/>
        </w:rPr>
        <w:t>de lancement de la présente consultation</w:t>
      </w:r>
      <w:r w:rsidRPr="0052393F">
        <w:rPr>
          <w:rFonts w:ascii="Arial" w:hAnsi="Arial" w:cs="Arial"/>
          <w:sz w:val="20"/>
          <w:szCs w:val="20"/>
        </w:rPr>
        <w:t>. L’arbitre unique sera désigné par le ou la Secrétaire général(e) de la Cour Permanente d’Arbitrage. La langue à utiliser au cours de la procédure arbitrale sera le français. La sentence arbitrale sera définitive et obligatoire pour les parties. </w:t>
      </w:r>
    </w:p>
    <w:p w14:paraId="7B76D22C" w14:textId="77777777" w:rsidR="0078354F" w:rsidRPr="0052393F" w:rsidRDefault="0078354F" w:rsidP="004B2A27">
      <w:pPr>
        <w:autoSpaceDE w:val="0"/>
        <w:autoSpaceDN w:val="0"/>
        <w:adjustRightInd w:val="0"/>
        <w:jc w:val="both"/>
        <w:rPr>
          <w:rFonts w:ascii="Arial" w:hAnsi="Arial" w:cs="Arial"/>
          <w:sz w:val="20"/>
          <w:szCs w:val="20"/>
        </w:rPr>
      </w:pPr>
    </w:p>
    <w:p w14:paraId="1869D4A1" w14:textId="77777777" w:rsidR="004B2A27" w:rsidRPr="0052393F" w:rsidRDefault="004B2A27" w:rsidP="004B2A27">
      <w:pPr>
        <w:pBdr>
          <w:bottom w:val="single" w:sz="4" w:space="1" w:color="auto"/>
        </w:pBdr>
        <w:jc w:val="center"/>
        <w:rPr>
          <w:rFonts w:ascii="Arial" w:hAnsi="Arial" w:cs="Arial"/>
          <w:b/>
          <w:smallCaps/>
        </w:rPr>
      </w:pPr>
      <w:r w:rsidRPr="0052393F">
        <w:rPr>
          <w:rFonts w:ascii="Arial" w:hAnsi="Arial" w:cs="Arial"/>
          <w:b/>
          <w:smallCaps/>
        </w:rPr>
        <w:t>Annexes</w:t>
      </w:r>
    </w:p>
    <w:p w14:paraId="2F0EEB99" w14:textId="77777777" w:rsidR="004B2A27" w:rsidRPr="0052393F" w:rsidRDefault="004B2A27" w:rsidP="004B2A27">
      <w:pPr>
        <w:jc w:val="both"/>
        <w:rPr>
          <w:rFonts w:ascii="Arial" w:hAnsi="Arial" w:cs="Arial"/>
          <w:sz w:val="20"/>
          <w:szCs w:val="20"/>
        </w:rPr>
      </w:pPr>
    </w:p>
    <w:p w14:paraId="6A710E84" w14:textId="77777777" w:rsidR="004B2A27" w:rsidRPr="0052393F" w:rsidRDefault="004B2A27" w:rsidP="004B2A27">
      <w:pPr>
        <w:jc w:val="both"/>
        <w:rPr>
          <w:rFonts w:ascii="Arial" w:hAnsi="Arial" w:cs="Arial"/>
          <w:sz w:val="20"/>
          <w:szCs w:val="20"/>
        </w:rPr>
      </w:pPr>
    </w:p>
    <w:p w14:paraId="0E46D82A" w14:textId="77777777" w:rsidR="004B2A27" w:rsidRPr="0052393F" w:rsidRDefault="004B2A27" w:rsidP="004B2A27">
      <w:pPr>
        <w:jc w:val="both"/>
        <w:rPr>
          <w:rFonts w:ascii="Arial" w:hAnsi="Arial" w:cs="Arial"/>
          <w:sz w:val="20"/>
          <w:szCs w:val="20"/>
        </w:rPr>
      </w:pPr>
      <w:r w:rsidRPr="0052393F">
        <w:rPr>
          <w:rFonts w:ascii="Arial" w:hAnsi="Arial" w:cs="Arial"/>
          <w:sz w:val="20"/>
          <w:szCs w:val="20"/>
        </w:rPr>
        <w:t>Annexe 1</w:t>
      </w:r>
      <w:r w:rsidR="00732D9D" w:rsidRPr="0052393F">
        <w:rPr>
          <w:rFonts w:ascii="Arial" w:hAnsi="Arial" w:cs="Arial"/>
          <w:sz w:val="20"/>
          <w:szCs w:val="20"/>
        </w:rPr>
        <w:t xml:space="preserve"> = Cahier des charges</w:t>
      </w:r>
      <w:r w:rsidR="002D368C" w:rsidRPr="0052393F">
        <w:rPr>
          <w:rFonts w:ascii="Arial" w:hAnsi="Arial" w:cs="Arial"/>
          <w:sz w:val="20"/>
          <w:szCs w:val="20"/>
        </w:rPr>
        <w:t> / Termes de références</w:t>
      </w:r>
      <w:r w:rsidRPr="0052393F">
        <w:rPr>
          <w:rFonts w:ascii="Arial" w:hAnsi="Arial" w:cs="Arial"/>
          <w:sz w:val="20"/>
          <w:szCs w:val="20"/>
        </w:rPr>
        <w:t>.</w:t>
      </w:r>
    </w:p>
    <w:p w14:paraId="4EDF808C" w14:textId="77777777" w:rsidR="004B2A27" w:rsidRPr="0052393F" w:rsidRDefault="004B2A27" w:rsidP="004B2A27">
      <w:pPr>
        <w:jc w:val="both"/>
        <w:rPr>
          <w:rFonts w:ascii="Arial" w:hAnsi="Arial" w:cs="Arial"/>
          <w:sz w:val="20"/>
          <w:szCs w:val="20"/>
        </w:rPr>
      </w:pPr>
      <w:r w:rsidRPr="0052393F">
        <w:rPr>
          <w:rFonts w:ascii="Arial" w:hAnsi="Arial" w:cs="Arial"/>
          <w:sz w:val="20"/>
          <w:szCs w:val="20"/>
        </w:rPr>
        <w:t>Annexe 2 = Dossier de réponse technique.</w:t>
      </w:r>
    </w:p>
    <w:p w14:paraId="6F536B06" w14:textId="77777777" w:rsidR="004B2A27" w:rsidRPr="0052393F" w:rsidRDefault="004B2A27" w:rsidP="004B2A27">
      <w:pPr>
        <w:jc w:val="both"/>
        <w:rPr>
          <w:rFonts w:ascii="Arial" w:hAnsi="Arial" w:cs="Arial"/>
          <w:sz w:val="20"/>
          <w:szCs w:val="20"/>
        </w:rPr>
      </w:pPr>
      <w:r w:rsidRPr="0052393F">
        <w:rPr>
          <w:rFonts w:ascii="Arial" w:hAnsi="Arial" w:cs="Arial"/>
          <w:sz w:val="20"/>
          <w:szCs w:val="20"/>
        </w:rPr>
        <w:t>Annexe 3 = Fiche de réponse financière.</w:t>
      </w:r>
    </w:p>
    <w:p w14:paraId="6E3DC228" w14:textId="77777777" w:rsidR="004B2A27" w:rsidRPr="0052393F" w:rsidRDefault="004B2A27" w:rsidP="004B2A27">
      <w:pPr>
        <w:rPr>
          <w:rFonts w:ascii="Arial" w:hAnsi="Arial" w:cs="Arial"/>
          <w:b/>
          <w:sz w:val="20"/>
          <w:szCs w:val="20"/>
        </w:rPr>
      </w:pPr>
    </w:p>
    <w:p w14:paraId="524E77D5" w14:textId="77777777" w:rsidR="00410376" w:rsidRPr="0052393F" w:rsidRDefault="00410376">
      <w:pPr>
        <w:rPr>
          <w:rFonts w:ascii="Arial" w:hAnsi="Arial" w:cs="Arial"/>
        </w:rPr>
      </w:pPr>
    </w:p>
    <w:sectPr w:rsidR="00410376" w:rsidRPr="0052393F" w:rsidSect="00AC4325">
      <w:headerReference w:type="default" r:id="rId8"/>
      <w:footerReference w:type="even"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D1ABC" w14:textId="77777777" w:rsidR="00C53FE1" w:rsidRDefault="00C53FE1" w:rsidP="004B2A27">
      <w:r>
        <w:separator/>
      </w:r>
    </w:p>
  </w:endnote>
  <w:endnote w:type="continuationSeparator" w:id="0">
    <w:p w14:paraId="0EBAD5F8" w14:textId="77777777" w:rsidR="00C53FE1" w:rsidRDefault="00C53FE1" w:rsidP="004B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FA890" w14:textId="77777777" w:rsidR="003D5E22" w:rsidRDefault="003D5E2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3926093" w14:textId="77777777" w:rsidR="003D5E22" w:rsidRDefault="003D5E2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16B68" w14:textId="77777777" w:rsidR="00C53FE1" w:rsidRDefault="00C53FE1" w:rsidP="004B2A27">
      <w:r>
        <w:separator/>
      </w:r>
    </w:p>
  </w:footnote>
  <w:footnote w:type="continuationSeparator" w:id="0">
    <w:p w14:paraId="65DB7E13" w14:textId="77777777" w:rsidR="00C53FE1" w:rsidRDefault="00C53FE1" w:rsidP="004B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510D" w14:textId="77777777" w:rsidR="003D5E22" w:rsidRPr="00B06849" w:rsidRDefault="003D5E22" w:rsidP="00094120">
    <w:pPr>
      <w:pStyle w:val="En-tte"/>
      <w:rPr>
        <w:rFonts w:ascii="Helvetica" w:hAnsi="Helvetica" w:cs="Helvetica"/>
        <w:i/>
        <w:sz w:val="14"/>
        <w:szCs w:val="14"/>
      </w:rPr>
    </w:pPr>
    <w:r>
      <w:rPr>
        <w:rFonts w:ascii="Helvetica" w:hAnsi="Helvetica" w:cs="Helvetica"/>
        <w:i/>
        <w:sz w:val="14"/>
        <w:szCs w:val="14"/>
      </w:rPr>
      <w:t>Consultation Formalisée</w:t>
    </w:r>
  </w:p>
  <w:p w14:paraId="01CB32F9" w14:textId="77777777" w:rsidR="003D5E22" w:rsidRPr="004D0EEB" w:rsidRDefault="003D5E22" w:rsidP="00AC43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3386D"/>
    <w:multiLevelType w:val="hybridMultilevel"/>
    <w:tmpl w:val="CB78759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1941EE8"/>
    <w:multiLevelType w:val="hybridMultilevel"/>
    <w:tmpl w:val="C570F334"/>
    <w:lvl w:ilvl="0" w:tplc="E420341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D30FBA"/>
    <w:multiLevelType w:val="hybridMultilevel"/>
    <w:tmpl w:val="F320CFBC"/>
    <w:lvl w:ilvl="0" w:tplc="EA40558A">
      <w:start w:val="1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2C22F9"/>
    <w:multiLevelType w:val="multilevel"/>
    <w:tmpl w:val="83A49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97170A1"/>
    <w:multiLevelType w:val="hybridMultilevel"/>
    <w:tmpl w:val="510E0426"/>
    <w:lvl w:ilvl="0" w:tplc="785867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4E11D9"/>
    <w:multiLevelType w:val="hybridMultilevel"/>
    <w:tmpl w:val="E7AAEB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91"/>
        </w:tabs>
        <w:ind w:left="1091" w:hanging="360"/>
      </w:pPr>
      <w:rPr>
        <w:rFonts w:ascii="Courier New" w:hAnsi="Courier New" w:cs="Courier New" w:hint="default"/>
      </w:rPr>
    </w:lvl>
    <w:lvl w:ilvl="2" w:tplc="040C0005" w:tentative="1">
      <w:start w:val="1"/>
      <w:numFmt w:val="bullet"/>
      <w:lvlText w:val=""/>
      <w:lvlJc w:val="left"/>
      <w:pPr>
        <w:tabs>
          <w:tab w:val="num" w:pos="1811"/>
        </w:tabs>
        <w:ind w:left="1811" w:hanging="360"/>
      </w:pPr>
      <w:rPr>
        <w:rFonts w:ascii="Wingdings" w:hAnsi="Wingdings" w:hint="default"/>
      </w:rPr>
    </w:lvl>
    <w:lvl w:ilvl="3" w:tplc="040C0001" w:tentative="1">
      <w:start w:val="1"/>
      <w:numFmt w:val="bullet"/>
      <w:lvlText w:val=""/>
      <w:lvlJc w:val="left"/>
      <w:pPr>
        <w:tabs>
          <w:tab w:val="num" w:pos="2531"/>
        </w:tabs>
        <w:ind w:left="2531" w:hanging="360"/>
      </w:pPr>
      <w:rPr>
        <w:rFonts w:ascii="Symbol" w:hAnsi="Symbol" w:hint="default"/>
      </w:rPr>
    </w:lvl>
    <w:lvl w:ilvl="4" w:tplc="040C0003" w:tentative="1">
      <w:start w:val="1"/>
      <w:numFmt w:val="bullet"/>
      <w:lvlText w:val="o"/>
      <w:lvlJc w:val="left"/>
      <w:pPr>
        <w:tabs>
          <w:tab w:val="num" w:pos="3251"/>
        </w:tabs>
        <w:ind w:left="3251" w:hanging="360"/>
      </w:pPr>
      <w:rPr>
        <w:rFonts w:ascii="Courier New" w:hAnsi="Courier New" w:cs="Courier New" w:hint="default"/>
      </w:rPr>
    </w:lvl>
    <w:lvl w:ilvl="5" w:tplc="040C0005" w:tentative="1">
      <w:start w:val="1"/>
      <w:numFmt w:val="bullet"/>
      <w:lvlText w:val=""/>
      <w:lvlJc w:val="left"/>
      <w:pPr>
        <w:tabs>
          <w:tab w:val="num" w:pos="3971"/>
        </w:tabs>
        <w:ind w:left="3971" w:hanging="360"/>
      </w:pPr>
      <w:rPr>
        <w:rFonts w:ascii="Wingdings" w:hAnsi="Wingdings" w:hint="default"/>
      </w:rPr>
    </w:lvl>
    <w:lvl w:ilvl="6" w:tplc="040C0001" w:tentative="1">
      <w:start w:val="1"/>
      <w:numFmt w:val="bullet"/>
      <w:lvlText w:val=""/>
      <w:lvlJc w:val="left"/>
      <w:pPr>
        <w:tabs>
          <w:tab w:val="num" w:pos="4691"/>
        </w:tabs>
        <w:ind w:left="4691" w:hanging="360"/>
      </w:pPr>
      <w:rPr>
        <w:rFonts w:ascii="Symbol" w:hAnsi="Symbol" w:hint="default"/>
      </w:rPr>
    </w:lvl>
    <w:lvl w:ilvl="7" w:tplc="040C0003" w:tentative="1">
      <w:start w:val="1"/>
      <w:numFmt w:val="bullet"/>
      <w:lvlText w:val="o"/>
      <w:lvlJc w:val="left"/>
      <w:pPr>
        <w:tabs>
          <w:tab w:val="num" w:pos="5411"/>
        </w:tabs>
        <w:ind w:left="5411" w:hanging="360"/>
      </w:pPr>
      <w:rPr>
        <w:rFonts w:ascii="Courier New" w:hAnsi="Courier New" w:cs="Courier New" w:hint="default"/>
      </w:rPr>
    </w:lvl>
    <w:lvl w:ilvl="8" w:tplc="040C0005" w:tentative="1">
      <w:start w:val="1"/>
      <w:numFmt w:val="bullet"/>
      <w:lvlText w:val=""/>
      <w:lvlJc w:val="left"/>
      <w:pPr>
        <w:tabs>
          <w:tab w:val="num" w:pos="6131"/>
        </w:tabs>
        <w:ind w:left="6131" w:hanging="360"/>
      </w:pPr>
      <w:rPr>
        <w:rFonts w:ascii="Wingdings" w:hAnsi="Wingdings" w:hint="default"/>
      </w:rPr>
    </w:lvl>
  </w:abstractNum>
  <w:abstractNum w:abstractNumId="6" w15:restartNumberingAfterBreak="0">
    <w:nsid w:val="51266F3B"/>
    <w:multiLevelType w:val="hybridMultilevel"/>
    <w:tmpl w:val="E7623D78"/>
    <w:lvl w:ilvl="0" w:tplc="E4203410">
      <w:start w:val="1"/>
      <w:numFmt w:val="bullet"/>
      <w:lvlText w:val=""/>
      <w:lvlJc w:val="left"/>
      <w:pPr>
        <w:tabs>
          <w:tab w:val="num" w:pos="360"/>
        </w:tabs>
        <w:ind w:left="36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4872C4"/>
    <w:multiLevelType w:val="multilevel"/>
    <w:tmpl w:val="333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BD10DF"/>
    <w:multiLevelType w:val="hybridMultilevel"/>
    <w:tmpl w:val="1B76E9BC"/>
    <w:lvl w:ilvl="0" w:tplc="5DC23E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833090"/>
    <w:multiLevelType w:val="hybridMultilevel"/>
    <w:tmpl w:val="625255CC"/>
    <w:lvl w:ilvl="0" w:tplc="2F08BE5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9503193">
    <w:abstractNumId w:val="3"/>
  </w:num>
  <w:num w:numId="2" w16cid:durableId="550508117">
    <w:abstractNumId w:val="1"/>
  </w:num>
  <w:num w:numId="3" w16cid:durableId="689141085">
    <w:abstractNumId w:val="5"/>
  </w:num>
  <w:num w:numId="4" w16cid:durableId="1326321907">
    <w:abstractNumId w:val="6"/>
  </w:num>
  <w:num w:numId="5" w16cid:durableId="1365791967">
    <w:abstractNumId w:val="9"/>
  </w:num>
  <w:num w:numId="6" w16cid:durableId="911695483">
    <w:abstractNumId w:val="2"/>
  </w:num>
  <w:num w:numId="7" w16cid:durableId="114301531">
    <w:abstractNumId w:val="8"/>
  </w:num>
  <w:num w:numId="8" w16cid:durableId="1197740812">
    <w:abstractNumId w:val="0"/>
  </w:num>
  <w:num w:numId="9" w16cid:durableId="1777359338">
    <w:abstractNumId w:val="7"/>
  </w:num>
  <w:num w:numId="10" w16cid:durableId="493687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27"/>
    <w:rsid w:val="000045E9"/>
    <w:rsid w:val="00010F35"/>
    <w:rsid w:val="0001575D"/>
    <w:rsid w:val="00030D9A"/>
    <w:rsid w:val="000369F9"/>
    <w:rsid w:val="00043AE6"/>
    <w:rsid w:val="00061BD5"/>
    <w:rsid w:val="00064787"/>
    <w:rsid w:val="00077CF1"/>
    <w:rsid w:val="00082FB0"/>
    <w:rsid w:val="00094120"/>
    <w:rsid w:val="000A577D"/>
    <w:rsid w:val="000D5755"/>
    <w:rsid w:val="00125BE9"/>
    <w:rsid w:val="001D4596"/>
    <w:rsid w:val="001D47AC"/>
    <w:rsid w:val="001E3832"/>
    <w:rsid w:val="001E474F"/>
    <w:rsid w:val="001E5278"/>
    <w:rsid w:val="0020234E"/>
    <w:rsid w:val="00216F9C"/>
    <w:rsid w:val="002623CE"/>
    <w:rsid w:val="0026274E"/>
    <w:rsid w:val="00282E71"/>
    <w:rsid w:val="002C07DE"/>
    <w:rsid w:val="002D368C"/>
    <w:rsid w:val="002F0563"/>
    <w:rsid w:val="00313C93"/>
    <w:rsid w:val="0034038E"/>
    <w:rsid w:val="00381716"/>
    <w:rsid w:val="003833AC"/>
    <w:rsid w:val="003925C2"/>
    <w:rsid w:val="003C030F"/>
    <w:rsid w:val="003C488E"/>
    <w:rsid w:val="003D5E22"/>
    <w:rsid w:val="003E07AE"/>
    <w:rsid w:val="003F55F6"/>
    <w:rsid w:val="003F5786"/>
    <w:rsid w:val="00410376"/>
    <w:rsid w:val="004329B3"/>
    <w:rsid w:val="00452698"/>
    <w:rsid w:val="00460107"/>
    <w:rsid w:val="00471F6E"/>
    <w:rsid w:val="00483C05"/>
    <w:rsid w:val="004924CB"/>
    <w:rsid w:val="004B2A27"/>
    <w:rsid w:val="004C27F3"/>
    <w:rsid w:val="004F5442"/>
    <w:rsid w:val="00505AAE"/>
    <w:rsid w:val="00516C63"/>
    <w:rsid w:val="00517CB2"/>
    <w:rsid w:val="0052393F"/>
    <w:rsid w:val="0053116A"/>
    <w:rsid w:val="0055611B"/>
    <w:rsid w:val="00556834"/>
    <w:rsid w:val="00564A0D"/>
    <w:rsid w:val="005752EA"/>
    <w:rsid w:val="005906EC"/>
    <w:rsid w:val="005910A1"/>
    <w:rsid w:val="005A2526"/>
    <w:rsid w:val="005B05F4"/>
    <w:rsid w:val="005C1BF2"/>
    <w:rsid w:val="005C429B"/>
    <w:rsid w:val="005C54DD"/>
    <w:rsid w:val="0062555F"/>
    <w:rsid w:val="00632813"/>
    <w:rsid w:val="00645F1D"/>
    <w:rsid w:val="0068675C"/>
    <w:rsid w:val="00697F94"/>
    <w:rsid w:val="006C15A4"/>
    <w:rsid w:val="006D1F4E"/>
    <w:rsid w:val="0070673B"/>
    <w:rsid w:val="0072193D"/>
    <w:rsid w:val="00732D9D"/>
    <w:rsid w:val="00762DE4"/>
    <w:rsid w:val="0078354F"/>
    <w:rsid w:val="007B4B40"/>
    <w:rsid w:val="007E2BBD"/>
    <w:rsid w:val="007E4005"/>
    <w:rsid w:val="0081682B"/>
    <w:rsid w:val="008456EC"/>
    <w:rsid w:val="008550C5"/>
    <w:rsid w:val="008721D2"/>
    <w:rsid w:val="00872B02"/>
    <w:rsid w:val="0088485C"/>
    <w:rsid w:val="008B3019"/>
    <w:rsid w:val="008B532D"/>
    <w:rsid w:val="008B587A"/>
    <w:rsid w:val="008C20FB"/>
    <w:rsid w:val="00904293"/>
    <w:rsid w:val="009133E9"/>
    <w:rsid w:val="00920BB1"/>
    <w:rsid w:val="00923E2E"/>
    <w:rsid w:val="009346FE"/>
    <w:rsid w:val="00952AFE"/>
    <w:rsid w:val="00952CF5"/>
    <w:rsid w:val="00993D35"/>
    <w:rsid w:val="009A3747"/>
    <w:rsid w:val="009A5EAC"/>
    <w:rsid w:val="009C1AD8"/>
    <w:rsid w:val="009D28B9"/>
    <w:rsid w:val="009E33CC"/>
    <w:rsid w:val="009F3059"/>
    <w:rsid w:val="00A17E5C"/>
    <w:rsid w:val="00A26DAA"/>
    <w:rsid w:val="00A35720"/>
    <w:rsid w:val="00AB27DD"/>
    <w:rsid w:val="00AB3713"/>
    <w:rsid w:val="00AB7D3F"/>
    <w:rsid w:val="00AC4325"/>
    <w:rsid w:val="00AF66F7"/>
    <w:rsid w:val="00B0117F"/>
    <w:rsid w:val="00B11086"/>
    <w:rsid w:val="00B37BF5"/>
    <w:rsid w:val="00B40226"/>
    <w:rsid w:val="00B5711D"/>
    <w:rsid w:val="00B64F7D"/>
    <w:rsid w:val="00B85E50"/>
    <w:rsid w:val="00BC1F6E"/>
    <w:rsid w:val="00BC6E09"/>
    <w:rsid w:val="00BE70F9"/>
    <w:rsid w:val="00BF7224"/>
    <w:rsid w:val="00C257BE"/>
    <w:rsid w:val="00C36BF5"/>
    <w:rsid w:val="00C37BFA"/>
    <w:rsid w:val="00C53FE1"/>
    <w:rsid w:val="00C70B88"/>
    <w:rsid w:val="00C85C7D"/>
    <w:rsid w:val="00C9723F"/>
    <w:rsid w:val="00CC6141"/>
    <w:rsid w:val="00D03FBC"/>
    <w:rsid w:val="00D270EB"/>
    <w:rsid w:val="00D877EB"/>
    <w:rsid w:val="00DA1063"/>
    <w:rsid w:val="00DC051D"/>
    <w:rsid w:val="00E04CB7"/>
    <w:rsid w:val="00E13948"/>
    <w:rsid w:val="00E33D32"/>
    <w:rsid w:val="00E362D4"/>
    <w:rsid w:val="00E70599"/>
    <w:rsid w:val="00E95244"/>
    <w:rsid w:val="00EA3CD5"/>
    <w:rsid w:val="00EA55F5"/>
    <w:rsid w:val="00EB6B7E"/>
    <w:rsid w:val="00EB7F4F"/>
    <w:rsid w:val="00F06642"/>
    <w:rsid w:val="00F1024D"/>
    <w:rsid w:val="00F219BE"/>
    <w:rsid w:val="00FF00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E2B45"/>
  <w15:docId w15:val="{C6AE7D53-CC3D-4229-AD39-756E04E1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A2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4B2A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B2A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4B2A27"/>
    <w:pPr>
      <w:tabs>
        <w:tab w:val="center" w:pos="4536"/>
        <w:tab w:val="right" w:pos="9072"/>
      </w:tabs>
    </w:pPr>
  </w:style>
  <w:style w:type="character" w:customStyle="1" w:styleId="PieddepageCar">
    <w:name w:val="Pied de page Car"/>
    <w:basedOn w:val="Policepardfaut"/>
    <w:link w:val="Pieddepage"/>
    <w:uiPriority w:val="99"/>
    <w:rsid w:val="004B2A27"/>
    <w:rPr>
      <w:rFonts w:ascii="Times New Roman" w:eastAsia="Times New Roman" w:hAnsi="Times New Roman" w:cs="Times New Roman"/>
      <w:sz w:val="24"/>
      <w:szCs w:val="24"/>
      <w:lang w:eastAsia="fr-FR"/>
    </w:rPr>
  </w:style>
  <w:style w:type="character" w:styleId="Numrodepage">
    <w:name w:val="page number"/>
    <w:basedOn w:val="Policepardfaut"/>
    <w:rsid w:val="004B2A27"/>
  </w:style>
  <w:style w:type="paragraph" w:customStyle="1" w:styleId="Titre1Helvetica11ptGras">
    <w:name w:val="Titre 1 + Helvetica 11 pt Gras"/>
    <w:basedOn w:val="Titre1"/>
    <w:rsid w:val="004B2A27"/>
    <w:pPr>
      <w:keepNext w:val="0"/>
      <w:keepLines w:val="0"/>
      <w:spacing w:before="0" w:after="240"/>
    </w:pPr>
    <w:rPr>
      <w:rFonts w:ascii="Helvetica" w:eastAsia="Times New Roman" w:hAnsi="Helvetica" w:cs="Helvetica"/>
      <w:caps/>
      <w:noProof/>
      <w:color w:val="auto"/>
      <w:sz w:val="22"/>
      <w:szCs w:val="22"/>
    </w:rPr>
  </w:style>
  <w:style w:type="paragraph" w:customStyle="1" w:styleId="Titre2Helvetica11pt">
    <w:name w:val="Titre 2 + Helvetica 11 pt"/>
    <w:basedOn w:val="Titre2"/>
    <w:rsid w:val="004B2A27"/>
    <w:pPr>
      <w:keepNext w:val="0"/>
      <w:keepLines w:val="0"/>
      <w:spacing w:before="0" w:after="240"/>
    </w:pPr>
    <w:rPr>
      <w:rFonts w:ascii="Helvetica" w:eastAsia="Times New Roman" w:hAnsi="Helvetica" w:cs="Helvetica"/>
      <w:bCs w:val="0"/>
      <w:smallCaps/>
      <w:noProof/>
      <w:color w:val="auto"/>
      <w:sz w:val="22"/>
      <w:szCs w:val="22"/>
    </w:rPr>
  </w:style>
  <w:style w:type="paragraph" w:styleId="En-tte">
    <w:name w:val="header"/>
    <w:aliases w:val="En-tête-1,En-tête-2,et,Premier en-tête,En-tête synthèse,En-tête1,E.e,h,titre principal,En-tête tbo,RE,E,En-tête11,E.e1,E1,En-tête12,E.e2,Header - SBC,entêtenestle,Cover Page,entête"/>
    <w:basedOn w:val="Normal"/>
    <w:link w:val="En-tteCar"/>
    <w:rsid w:val="004B2A27"/>
    <w:pPr>
      <w:tabs>
        <w:tab w:val="center" w:pos="4536"/>
        <w:tab w:val="right" w:pos="9072"/>
      </w:tabs>
      <w:jc w:val="both"/>
    </w:pPr>
    <w:rPr>
      <w:sz w:val="20"/>
      <w:szCs w:val="20"/>
    </w:rPr>
  </w:style>
  <w:style w:type="character" w:customStyle="1" w:styleId="En-tteCar">
    <w:name w:val="En-tête Car"/>
    <w:aliases w:val="En-tête-1 Car,En-tête-2 Car,et Car,Premier en-tête Car,En-tête synthèse Car,En-tête1 Car,E.e Car,h Car,titre principal Car,En-tête tbo Car,RE Car,E Car,En-tête11 Car,E.e1 Car,E1 Car,En-tête12 Car,E.e2 Car,Header - SBC Car,entêtenestle Car"/>
    <w:basedOn w:val="Policepardfaut"/>
    <w:link w:val="En-tte"/>
    <w:rsid w:val="004B2A27"/>
    <w:rPr>
      <w:rFonts w:ascii="Times New Roman" w:eastAsia="Times New Roman" w:hAnsi="Times New Roman" w:cs="Times New Roman"/>
      <w:sz w:val="20"/>
      <w:szCs w:val="20"/>
      <w:lang w:eastAsia="fr-FR"/>
    </w:rPr>
  </w:style>
  <w:style w:type="paragraph" w:styleId="TM1">
    <w:name w:val="toc 1"/>
    <w:basedOn w:val="Normal"/>
    <w:next w:val="Normal"/>
    <w:autoRedefine/>
    <w:uiPriority w:val="39"/>
    <w:rsid w:val="004B2A27"/>
    <w:pPr>
      <w:tabs>
        <w:tab w:val="left" w:pos="480"/>
        <w:tab w:val="right" w:leader="dot" w:pos="9060"/>
      </w:tabs>
      <w:spacing w:before="120" w:after="120"/>
    </w:pPr>
    <w:rPr>
      <w:rFonts w:ascii="Helvetica" w:hAnsi="Helvetica"/>
      <w:sz w:val="20"/>
    </w:rPr>
  </w:style>
  <w:style w:type="character" w:customStyle="1" w:styleId="Titre1Car">
    <w:name w:val="Titre 1 Car"/>
    <w:basedOn w:val="Policepardfaut"/>
    <w:link w:val="Titre1"/>
    <w:uiPriority w:val="9"/>
    <w:rsid w:val="004B2A27"/>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4B2A27"/>
    <w:rPr>
      <w:rFonts w:asciiTheme="majorHAnsi" w:eastAsiaTheme="majorEastAsia" w:hAnsiTheme="majorHAnsi" w:cstheme="majorBidi"/>
      <w:b/>
      <w:bCs/>
      <w:color w:val="4F81BD" w:themeColor="accent1"/>
      <w:sz w:val="26"/>
      <w:szCs w:val="26"/>
      <w:lang w:eastAsia="fr-FR"/>
    </w:rPr>
  </w:style>
  <w:style w:type="paragraph" w:styleId="Textedebulles">
    <w:name w:val="Balloon Text"/>
    <w:basedOn w:val="Normal"/>
    <w:link w:val="TextedebullesCar"/>
    <w:uiPriority w:val="99"/>
    <w:semiHidden/>
    <w:unhideWhenUsed/>
    <w:rsid w:val="004B2A27"/>
    <w:rPr>
      <w:rFonts w:ascii="Tahoma" w:hAnsi="Tahoma" w:cs="Tahoma"/>
      <w:sz w:val="16"/>
      <w:szCs w:val="16"/>
    </w:rPr>
  </w:style>
  <w:style w:type="character" w:customStyle="1" w:styleId="TextedebullesCar">
    <w:name w:val="Texte de bulles Car"/>
    <w:basedOn w:val="Policepardfaut"/>
    <w:link w:val="Textedebulles"/>
    <w:uiPriority w:val="99"/>
    <w:semiHidden/>
    <w:rsid w:val="004B2A27"/>
    <w:rPr>
      <w:rFonts w:ascii="Tahoma" w:eastAsia="Times New Roman" w:hAnsi="Tahoma" w:cs="Tahoma"/>
      <w:sz w:val="16"/>
      <w:szCs w:val="16"/>
      <w:lang w:eastAsia="fr-FR"/>
    </w:rPr>
  </w:style>
  <w:style w:type="paragraph" w:styleId="Paragraphedeliste">
    <w:name w:val="List Paragraph"/>
    <w:aliases w:val="exigence 4,References,Bullets,List Paragraph-1,Table of contents numbered,List Paragraph (bulleted list),Bullet 1 List"/>
    <w:basedOn w:val="Normal"/>
    <w:link w:val="ParagraphedelisteCar"/>
    <w:uiPriority w:val="1"/>
    <w:qFormat/>
    <w:rsid w:val="009D28B9"/>
    <w:pPr>
      <w:ind w:left="720"/>
      <w:contextualSpacing/>
    </w:pPr>
  </w:style>
  <w:style w:type="paragraph" w:styleId="TM2">
    <w:name w:val="toc 2"/>
    <w:basedOn w:val="Normal"/>
    <w:next w:val="Normal"/>
    <w:autoRedefine/>
    <w:uiPriority w:val="39"/>
    <w:unhideWhenUsed/>
    <w:rsid w:val="0062555F"/>
    <w:pPr>
      <w:spacing w:after="100"/>
      <w:ind w:left="240"/>
    </w:pPr>
  </w:style>
  <w:style w:type="character" w:styleId="Lienhypertexte">
    <w:name w:val="Hyperlink"/>
    <w:basedOn w:val="Policepardfaut"/>
    <w:uiPriority w:val="99"/>
    <w:unhideWhenUsed/>
    <w:rsid w:val="0062555F"/>
    <w:rPr>
      <w:color w:val="0000FF" w:themeColor="hyperlink"/>
      <w:u w:val="single"/>
    </w:rPr>
  </w:style>
  <w:style w:type="character" w:styleId="Marquedecommentaire">
    <w:name w:val="annotation reference"/>
    <w:basedOn w:val="Policepardfaut"/>
    <w:uiPriority w:val="99"/>
    <w:semiHidden/>
    <w:unhideWhenUsed/>
    <w:rsid w:val="007B4B40"/>
    <w:rPr>
      <w:sz w:val="16"/>
      <w:szCs w:val="16"/>
    </w:rPr>
  </w:style>
  <w:style w:type="paragraph" w:styleId="Commentaire">
    <w:name w:val="annotation text"/>
    <w:basedOn w:val="Normal"/>
    <w:link w:val="CommentaireCar"/>
    <w:uiPriority w:val="99"/>
    <w:semiHidden/>
    <w:unhideWhenUsed/>
    <w:rsid w:val="007B4B40"/>
    <w:rPr>
      <w:sz w:val="20"/>
      <w:szCs w:val="20"/>
    </w:rPr>
  </w:style>
  <w:style w:type="character" w:customStyle="1" w:styleId="CommentaireCar">
    <w:name w:val="Commentaire Car"/>
    <w:basedOn w:val="Policepardfaut"/>
    <w:link w:val="Commentaire"/>
    <w:uiPriority w:val="99"/>
    <w:semiHidden/>
    <w:rsid w:val="007B4B4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B4B40"/>
    <w:rPr>
      <w:b/>
      <w:bCs/>
    </w:rPr>
  </w:style>
  <w:style w:type="character" w:customStyle="1" w:styleId="ObjetducommentaireCar">
    <w:name w:val="Objet du commentaire Car"/>
    <w:basedOn w:val="CommentaireCar"/>
    <w:link w:val="Objetducommentaire"/>
    <w:uiPriority w:val="99"/>
    <w:semiHidden/>
    <w:rsid w:val="007B4B40"/>
    <w:rPr>
      <w:rFonts w:ascii="Times New Roman" w:eastAsia="Times New Roman" w:hAnsi="Times New Roman" w:cs="Times New Roman"/>
      <w:b/>
      <w:bCs/>
      <w:sz w:val="20"/>
      <w:szCs w:val="20"/>
      <w:lang w:eastAsia="fr-FR"/>
    </w:rPr>
  </w:style>
  <w:style w:type="character" w:customStyle="1" w:styleId="ParagraphedelisteCar">
    <w:name w:val="Paragraphe de liste Car"/>
    <w:aliases w:val="exigence 4 Car,References Car,Bullets Car,List Paragraph-1 Car,Table of contents numbered Car,List Paragraph (bulleted list) Car,Bullet 1 List Car"/>
    <w:link w:val="Paragraphedeliste"/>
    <w:uiPriority w:val="1"/>
    <w:locked/>
    <w:rsid w:val="008B532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2521">
      <w:bodyDiv w:val="1"/>
      <w:marLeft w:val="0"/>
      <w:marRight w:val="0"/>
      <w:marTop w:val="0"/>
      <w:marBottom w:val="0"/>
      <w:divBdr>
        <w:top w:val="none" w:sz="0" w:space="0" w:color="auto"/>
        <w:left w:val="none" w:sz="0" w:space="0" w:color="auto"/>
        <w:bottom w:val="none" w:sz="0" w:space="0" w:color="auto"/>
        <w:right w:val="none" w:sz="0" w:space="0" w:color="auto"/>
      </w:divBdr>
    </w:div>
    <w:div w:id="178079666">
      <w:bodyDiv w:val="1"/>
      <w:marLeft w:val="0"/>
      <w:marRight w:val="0"/>
      <w:marTop w:val="0"/>
      <w:marBottom w:val="0"/>
      <w:divBdr>
        <w:top w:val="none" w:sz="0" w:space="0" w:color="auto"/>
        <w:left w:val="none" w:sz="0" w:space="0" w:color="auto"/>
        <w:bottom w:val="none" w:sz="0" w:space="0" w:color="auto"/>
        <w:right w:val="none" w:sz="0" w:space="0" w:color="auto"/>
      </w:divBdr>
    </w:div>
    <w:div w:id="55747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1110</Words>
  <Characters>6110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MDFSSCCM01</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Ibrahima Yaya OUMAROU</dc:creator>
  <cp:lastModifiedBy>My Linh DAO LE</cp:lastModifiedBy>
  <cp:revision>14</cp:revision>
  <cp:lastPrinted>2020-08-18T13:34:00Z</cp:lastPrinted>
  <dcterms:created xsi:type="dcterms:W3CDTF">2025-03-21T03:24:00Z</dcterms:created>
  <dcterms:modified xsi:type="dcterms:W3CDTF">2025-05-22T02:27:00Z</dcterms:modified>
</cp:coreProperties>
</file>